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CAB54" w14:textId="77777777" w:rsidR="00023C1E" w:rsidRDefault="00023C1E" w:rsidP="00023C1E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GA</w:t>
      </w:r>
    </w:p>
    <w:p w14:paraId="26E578F4" w14:textId="77777777" w:rsidR="00023C1E" w:rsidRDefault="00023C1E" w:rsidP="00023C1E">
      <w:pPr>
        <w:rPr>
          <w:rFonts w:asciiTheme="minorHAnsi" w:hAnsiTheme="minorHAnsi"/>
          <w:sz w:val="22"/>
        </w:rPr>
      </w:pPr>
    </w:p>
    <w:p w14:paraId="2814ADEA" w14:textId="77777777" w:rsidR="00EC5F08" w:rsidRPr="00037E7B" w:rsidRDefault="00EC5F08" w:rsidP="00EC5F0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IARSCRÍBHINN II</w:t>
      </w:r>
    </w:p>
    <w:p w14:paraId="3C60A640" w14:textId="77777777" w:rsidR="00EC5F08" w:rsidRPr="00037E7B" w:rsidRDefault="00EC5F08" w:rsidP="00EC5F0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“IARSCRÍBHINN II</w:t>
      </w:r>
    </w:p>
    <w:p w14:paraId="62D6C096" w14:textId="77777777" w:rsidR="00EC5F08" w:rsidRPr="00037E7B" w:rsidRDefault="00EC5F08" w:rsidP="00EC5F0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TREORACHA MAIDIR LE TUAIRISCIÚ AR CHISTÍ DÍLSE AGUS AR CHEANGLAIS CISTÍ DÍLSE</w:t>
      </w:r>
    </w:p>
    <w:p w14:paraId="63A72470" w14:textId="77777777" w:rsidR="00EC5F08" w:rsidRDefault="00EC5F08" w:rsidP="00EC5F08"/>
    <w:p w14:paraId="1E2DD6C0" w14:textId="77777777" w:rsidR="00EC5F08" w:rsidRDefault="00EC5F08" w:rsidP="00EC5F08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CUID II: TREORACHA A BHAINEANN LE TEIMPLÉID</w:t>
      </w:r>
    </w:p>
    <w:p w14:paraId="5F94331A" w14:textId="77777777" w:rsidR="00EC5F08" w:rsidRDefault="00EC5F08" w:rsidP="00EC5F08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537964DB" w14:textId="77777777" w:rsidR="00EC5F08" w:rsidRPr="00736637" w:rsidRDefault="00EC5F08" w:rsidP="00EC5F08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541E439D" w14:textId="77777777" w:rsidR="00EC5F08" w:rsidRPr="002A677E" w:rsidRDefault="00EC5F08" w:rsidP="00BD16F2">
      <w:pPr>
        <w:rPr>
          <w:rStyle w:val="InstructionsTabelleText"/>
          <w:rFonts w:ascii="Times New Roman" w:hAnsi="Times New Roman"/>
          <w:sz w:val="24"/>
        </w:rPr>
      </w:pPr>
    </w:p>
    <w:p w14:paraId="329CE43D" w14:textId="77777777" w:rsidR="00BD16F2" w:rsidRPr="002A677E" w:rsidRDefault="00BD16F2" w:rsidP="00BD16F2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0" w:name="_Toc473561055"/>
      <w:bookmarkStart w:id="1" w:name="_Toc151714522"/>
      <w:r>
        <w:rPr>
          <w:rFonts w:ascii="Times New Roman" w:hAnsi="Times New Roman"/>
          <w:sz w:val="24"/>
          <w:u w:val="none"/>
        </w:rPr>
        <w:t>7.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 xml:space="preserve">C 33.00 – </w:t>
      </w:r>
      <w:proofErr w:type="spellStart"/>
      <w:r>
        <w:rPr>
          <w:rFonts w:ascii="Times New Roman" w:hAnsi="Times New Roman"/>
          <w:sz w:val="24"/>
        </w:rPr>
        <w:t>Neamhchosaintí</w:t>
      </w:r>
      <w:proofErr w:type="spellEnd"/>
      <w:r>
        <w:rPr>
          <w:rFonts w:ascii="Times New Roman" w:hAnsi="Times New Roman"/>
          <w:sz w:val="24"/>
        </w:rPr>
        <w:t xml:space="preserve"> ar Rialtais ghinearálta (GOV)</w:t>
      </w:r>
      <w:bookmarkEnd w:id="0"/>
      <w:bookmarkEnd w:id="1"/>
    </w:p>
    <w:p w14:paraId="47ECBF7E" w14:textId="77777777" w:rsidR="00BD16F2" w:rsidRPr="002A677E" w:rsidRDefault="00BD16F2" w:rsidP="00BD16F2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2" w:name="_Toc367202008"/>
      <w:bookmarkStart w:id="3" w:name="_Toc473561056"/>
      <w:bookmarkStart w:id="4" w:name="_Toc151714523"/>
      <w:r>
        <w:rPr>
          <w:rFonts w:ascii="Times New Roman" w:hAnsi="Times New Roman"/>
          <w:sz w:val="24"/>
          <w:u w:val="none"/>
        </w:rPr>
        <w:t>7.1.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Barúlacha ginearálta</w:t>
      </w:r>
      <w:bookmarkEnd w:id="2"/>
      <w:bookmarkEnd w:id="3"/>
      <w:bookmarkEnd w:id="4"/>
      <w:r>
        <w:rPr>
          <w:rFonts w:ascii="Times New Roman" w:hAnsi="Times New Roman"/>
          <w:sz w:val="24"/>
        </w:rPr>
        <w:t xml:space="preserve"> </w:t>
      </w:r>
    </w:p>
    <w:p w14:paraId="607B1B9D" w14:textId="4D6DEBA3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191</w:t>
      </w:r>
      <w:r w:rsidRPr="005B57EC">
        <w:fldChar w:fldCharType="end"/>
      </w:r>
      <w:r>
        <w:t>.</w:t>
      </w:r>
      <w:r>
        <w:tab/>
        <w:t xml:space="preserve"> Leis an bhfaisnéis chun críoch theimpléad C 33.00, cumhdófar gach neamhchosaint ar ‘Rialtais ghinearálta’ dá dtagraítear i bpointe (b), de mhír 42 d’Iarscríbhinn V a ghabhann leis an Rialachán Cur Chun Feidhme seo.</w:t>
      </w:r>
    </w:p>
    <w:p w14:paraId="6DDF43E1" w14:textId="777647EB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192</w:t>
      </w:r>
      <w:r w:rsidRPr="005B57EC">
        <w:fldChar w:fldCharType="end"/>
      </w:r>
      <w:r>
        <w:t>.</w:t>
      </w:r>
      <w:r>
        <w:tab/>
        <w:t xml:space="preserve"> I gcás ina mbíonn na </w:t>
      </w:r>
      <w:proofErr w:type="spellStart"/>
      <w:r>
        <w:t>neamhchosaintí</w:t>
      </w:r>
      <w:proofErr w:type="spellEnd"/>
      <w:r>
        <w:t xml:space="preserve"> ar ‘Rialtais ghinearálta’ faoi réir ceanglais cistí dílse i gcomhréir le Cuid a Trí, Teideal II de Rialachán (AE) Uimh. 575/2013, cuirtear </w:t>
      </w:r>
      <w:proofErr w:type="spellStart"/>
      <w:r>
        <w:t>neamhchosaintí</w:t>
      </w:r>
      <w:proofErr w:type="spellEnd"/>
      <w:r>
        <w:t xml:space="preserve"> ar ‘Rialtais ghinearálta’ san áireamh in aicmí neamhchosanta difriúla i gcomhréir le hAirteagail 112 agus 147 den Rialachán sin, mar a shonraítear leis na treoracha maidir le teimpléid C 07.00, C 08.01 agus C 08.02 a líonadh isteach. </w:t>
      </w:r>
    </w:p>
    <w:p w14:paraId="293BF385" w14:textId="0FB1F10B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193</w:t>
      </w:r>
      <w:r w:rsidRPr="005B57EC">
        <w:fldChar w:fldCharType="end"/>
      </w:r>
      <w:r>
        <w:t>.</w:t>
      </w:r>
      <w:r>
        <w:tab/>
        <w:t xml:space="preserve"> Déanfar Tábla 2 (Cur Chuige Caighdeánaithe) agus Tábla 3 (Cur Chuige IRB), a chuirtear san áireamh i gCuid 3 d’Iarscríbhinn V a ghabhann leis an Rialachán Cur Chun Feidhme seo, a bhreathnú maidir le mapáil aicmí neamhchosanta a úsáidtear chun ceanglais chaipitil a ríomh faoi Rialachán (AE) Uimh. 575/2013 ar ‘Rialtais ghinearálta’ na hearnála </w:t>
      </w:r>
      <w:proofErr w:type="spellStart"/>
      <w:r>
        <w:t>contrapháirtí</w:t>
      </w:r>
      <w:proofErr w:type="spellEnd"/>
      <w:r>
        <w:t xml:space="preserve">. </w:t>
      </w:r>
    </w:p>
    <w:p w14:paraId="7BF9F4A1" w14:textId="3878F16A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194</w:t>
      </w:r>
      <w:r w:rsidRPr="005B57EC">
        <w:fldChar w:fldCharType="end"/>
      </w:r>
      <w:r>
        <w:t xml:space="preserve">. Tuairisceofar faisnéis maidir leis na </w:t>
      </w:r>
      <w:proofErr w:type="spellStart"/>
      <w:r>
        <w:t>neamhchosaintí</w:t>
      </w:r>
      <w:proofErr w:type="spellEnd"/>
      <w:r>
        <w:t xml:space="preserve"> </w:t>
      </w:r>
      <w:proofErr w:type="spellStart"/>
      <w:r>
        <w:t>comhiomlánaithe</w:t>
      </w:r>
      <w:proofErr w:type="spellEnd"/>
      <w:r>
        <w:t xml:space="preserve"> iomlána (rud a chiallaíonn suim na dtíortha uile ina bhfuil </w:t>
      </w:r>
      <w:proofErr w:type="spellStart"/>
      <w:r>
        <w:t>neamhchosaintí</w:t>
      </w:r>
      <w:proofErr w:type="spellEnd"/>
      <w:r>
        <w:t xml:space="preserve"> ceannasacha ag an mbanc) agus maidir le gach tír ar bhonn chónaí an </w:t>
      </w:r>
      <w:proofErr w:type="spellStart"/>
      <w:r>
        <w:t>chontrapháirtí</w:t>
      </w:r>
      <w:proofErr w:type="spellEnd"/>
      <w:r>
        <w:t xml:space="preserve"> ar bhonn iasachtóir láithreach. </w:t>
      </w:r>
    </w:p>
    <w:p w14:paraId="3F2AB0FC" w14:textId="61EEA008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195</w:t>
      </w:r>
      <w:r w:rsidRPr="005B57EC">
        <w:fldChar w:fldCharType="end"/>
      </w:r>
      <w:r>
        <w:t>.</w:t>
      </w:r>
      <w:r>
        <w:tab/>
        <w:t xml:space="preserve"> </w:t>
      </w:r>
      <w:proofErr w:type="spellStart"/>
      <w:r>
        <w:t>Leithdháilfear</w:t>
      </w:r>
      <w:proofErr w:type="spellEnd"/>
      <w:r>
        <w:t xml:space="preserve"> na </w:t>
      </w:r>
      <w:proofErr w:type="spellStart"/>
      <w:r>
        <w:t>neamhchosaintí</w:t>
      </w:r>
      <w:proofErr w:type="spellEnd"/>
      <w:r>
        <w:t xml:space="preserve"> ar aicmí neamhchosanta nó ar </w:t>
      </w:r>
      <w:proofErr w:type="spellStart"/>
      <w:r>
        <w:t>dhlínsí</w:t>
      </w:r>
      <w:proofErr w:type="spellEnd"/>
      <w:r>
        <w:t xml:space="preserve"> gan teicnící maolaithe creidmheasa a bhreithniú agus go háirithe gan iarmhairtí ar ionadú a bhreithniú. Cuirfear san áireamh i ríomh na luachanna neamhchosanta agus méideanna neamhchosanta atá ualaithe ó thaobh riosca le haghaidh gach aicme neamhchosanta agus gach dlínse, áfach, tarlú na </w:t>
      </w:r>
      <w:proofErr w:type="spellStart"/>
      <w:r>
        <w:t>dteicnící</w:t>
      </w:r>
      <w:proofErr w:type="spellEnd"/>
      <w:r>
        <w:t xml:space="preserve"> um maolú riosca creidmheasa, lena </w:t>
      </w:r>
      <w:r w:rsidR="00A1751F">
        <w:t>n</w:t>
      </w:r>
      <w:r w:rsidR="00A1751F">
        <w:noBreakHyphen/>
      </w:r>
      <w:r>
        <w:t xml:space="preserve">áirítear iarmhairtí ar ionadú. </w:t>
      </w:r>
    </w:p>
    <w:p w14:paraId="63D48DFC" w14:textId="24583AEB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196</w:t>
      </w:r>
      <w:r w:rsidRPr="005B57EC">
        <w:fldChar w:fldCharType="end"/>
      </w:r>
      <w:r>
        <w:t>.</w:t>
      </w:r>
      <w:r>
        <w:tab/>
        <w:t xml:space="preserve"> Tá tuairisciú na faisnéise ar </w:t>
      </w:r>
      <w:proofErr w:type="spellStart"/>
      <w:r>
        <w:t>neamhchosaintí</w:t>
      </w:r>
      <w:proofErr w:type="spellEnd"/>
      <w:r>
        <w:t xml:space="preserve"> ar ‘Rialtais ghinearálta’ de réir dhlínse cónaithe an </w:t>
      </w:r>
      <w:proofErr w:type="spellStart"/>
      <w:r>
        <w:t>chontrapháirtí</w:t>
      </w:r>
      <w:proofErr w:type="spellEnd"/>
      <w:r>
        <w:t xml:space="preserve"> láithrigh seachas dhlínse bhaile na hinstitiúide </w:t>
      </w:r>
      <w:r>
        <w:lastRenderedPageBreak/>
        <w:t>tuairiscithe faoi réir na dtairseacha a leagtar síos in Airteagal 6(3) den Rialachán Cur Chun Feidhme seo.</w:t>
      </w:r>
    </w:p>
    <w:p w14:paraId="6C57DF9A" w14:textId="77777777" w:rsidR="00BD16F2" w:rsidRPr="002A677E" w:rsidRDefault="00BD16F2" w:rsidP="00BD16F2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5" w:name="_Toc367202009"/>
      <w:bookmarkStart w:id="6" w:name="_Toc473561057"/>
      <w:bookmarkStart w:id="7" w:name="_Toc151714524"/>
      <w:r>
        <w:rPr>
          <w:rFonts w:ascii="Times New Roman" w:hAnsi="Times New Roman"/>
          <w:sz w:val="24"/>
          <w:u w:val="none"/>
        </w:rPr>
        <w:t>7.2.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Raon feidhme an teimpléid</w:t>
      </w:r>
      <w:bookmarkEnd w:id="5"/>
      <w:r>
        <w:rPr>
          <w:rFonts w:ascii="Times New Roman" w:hAnsi="Times New Roman"/>
          <w:sz w:val="24"/>
        </w:rPr>
        <w:t xml:space="preserve"> i dtaca le </w:t>
      </w:r>
      <w:proofErr w:type="spellStart"/>
      <w:r>
        <w:rPr>
          <w:rFonts w:ascii="Times New Roman" w:hAnsi="Times New Roman"/>
          <w:sz w:val="24"/>
        </w:rPr>
        <w:t>neamhchosaintí</w:t>
      </w:r>
      <w:proofErr w:type="spellEnd"/>
      <w:r>
        <w:rPr>
          <w:rFonts w:ascii="Times New Roman" w:hAnsi="Times New Roman"/>
          <w:sz w:val="24"/>
        </w:rPr>
        <w:t xml:space="preserve"> ar ‘Rialtais ghinearálta’</w:t>
      </w:r>
      <w:bookmarkEnd w:id="6"/>
      <w:bookmarkEnd w:id="7"/>
    </w:p>
    <w:p w14:paraId="0229F5BC" w14:textId="67D90191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197</w:t>
      </w:r>
      <w:r w:rsidRPr="005B57EC">
        <w:fldChar w:fldCharType="end"/>
      </w:r>
      <w:r>
        <w:t>.</w:t>
      </w:r>
      <w:r>
        <w:tab/>
        <w:t xml:space="preserve"> Cumhdaítear le raon feidhme theimpléad GOV </w:t>
      </w:r>
      <w:proofErr w:type="spellStart"/>
      <w:r>
        <w:t>neamhchosaintí</w:t>
      </w:r>
      <w:proofErr w:type="spellEnd"/>
      <w:r>
        <w:t xml:space="preserve"> díreacha laistigh den chlár comhardaithe, lasmuigh den chlár comhardaithe agus díorthaigh ar ‘Rialtais ghinearálta’ sa leabhar baincéireachta agus trádála. Ina theannta sin, iarrtar </w:t>
      </w:r>
      <w:proofErr w:type="spellStart"/>
      <w:r>
        <w:t>ítim</w:t>
      </w:r>
      <w:proofErr w:type="spellEnd"/>
      <w:r>
        <w:t xml:space="preserve"> mheabhráin ar </w:t>
      </w:r>
      <w:proofErr w:type="spellStart"/>
      <w:r>
        <w:t>neamhchosaintí</w:t>
      </w:r>
      <w:proofErr w:type="spellEnd"/>
      <w:r>
        <w:t xml:space="preserve"> </w:t>
      </w:r>
      <w:proofErr w:type="spellStart"/>
      <w:r>
        <w:t>neamhdhíreacha</w:t>
      </w:r>
      <w:proofErr w:type="spellEnd"/>
      <w:r>
        <w:t xml:space="preserve"> i bhfoirm díorthaigh chreidmheasa a dhíoltar ar </w:t>
      </w:r>
      <w:proofErr w:type="spellStart"/>
      <w:r>
        <w:t>neamhchosaintí</w:t>
      </w:r>
      <w:proofErr w:type="spellEnd"/>
      <w:r>
        <w:t xml:space="preserve"> rialtais ghinearálta freisin.</w:t>
      </w:r>
    </w:p>
    <w:p w14:paraId="1EC4D83C" w14:textId="376B0B1B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198</w:t>
      </w:r>
      <w:r w:rsidRPr="005B57EC">
        <w:fldChar w:fldCharType="end"/>
      </w:r>
      <w:r>
        <w:t>.</w:t>
      </w:r>
      <w:r>
        <w:tab/>
        <w:t xml:space="preserve"> neamhchosaint dhíreach is ea neamhchosaint i gcás inarb eintiteas é an </w:t>
      </w:r>
      <w:proofErr w:type="spellStart"/>
      <w:r>
        <w:t>chontrapháirtí</w:t>
      </w:r>
      <w:proofErr w:type="spellEnd"/>
      <w:r>
        <w:t xml:space="preserve"> láithrigh ar ‘Rialtas ginearálta’ é dá dtagraítear i bpointe (b), de mhír 42 d’Iarscríbhinn V a ghabhann leis an Rialachán Cur Chun Feidhme seo. </w:t>
      </w:r>
    </w:p>
    <w:p w14:paraId="00A82C5A" w14:textId="7F0E5E44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199</w:t>
      </w:r>
      <w:r w:rsidRPr="005B57EC">
        <w:fldChar w:fldCharType="end"/>
      </w:r>
      <w:r>
        <w:t>.</w:t>
      </w:r>
      <w:r>
        <w:tab/>
        <w:t xml:space="preserve"> Tá an teimpléad roinnte ina dhá roinn. Tá an chéad cheann bunaithe ar mhiondealú </w:t>
      </w:r>
      <w:proofErr w:type="spellStart"/>
      <w:r>
        <w:t>neamhchosaintí</w:t>
      </w:r>
      <w:proofErr w:type="spellEnd"/>
      <w:r>
        <w:t xml:space="preserve"> de réir riosca, cur chuige rialála agus aicmí neamhchosanta agus tá an dara ceann bunaithe ar mhiondealú de réir aibíocht iarmhair.</w:t>
      </w:r>
    </w:p>
    <w:p w14:paraId="4EBA25CD" w14:textId="77777777" w:rsidR="00BD16F2" w:rsidRPr="002A677E" w:rsidRDefault="00BD16F2" w:rsidP="00BD16F2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8" w:name="_Toc473561058"/>
      <w:bookmarkStart w:id="9" w:name="_Toc151714525"/>
      <w:r>
        <w:rPr>
          <w:rFonts w:ascii="Times New Roman" w:hAnsi="Times New Roman"/>
          <w:sz w:val="24"/>
          <w:u w:val="none"/>
        </w:rPr>
        <w:t>7.3.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Treoracha a bhaineann le suímh shonracha</w:t>
      </w:r>
      <w:bookmarkEnd w:id="8"/>
      <w:bookmarkEnd w:id="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BD16F2" w:rsidRPr="002A677E" w14:paraId="3E45D987" w14:textId="77777777" w:rsidTr="00E07FE9">
        <w:tc>
          <w:tcPr>
            <w:tcW w:w="1188" w:type="dxa"/>
            <w:shd w:val="pct25" w:color="auto" w:fill="auto"/>
          </w:tcPr>
          <w:p w14:paraId="564910A6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Colúin</w:t>
            </w:r>
          </w:p>
          <w:p w14:paraId="4C109A2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  <w:tc>
          <w:tcPr>
            <w:tcW w:w="8640" w:type="dxa"/>
            <w:shd w:val="pct25" w:color="auto" w:fill="auto"/>
          </w:tcPr>
          <w:p w14:paraId="33F7A37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Treoracha</w:t>
            </w:r>
          </w:p>
        </w:tc>
      </w:tr>
      <w:tr w:rsidR="00BD16F2" w:rsidRPr="002A677E" w14:paraId="3DC0F33D" w14:textId="77777777" w:rsidTr="00E07FE9">
        <w:tc>
          <w:tcPr>
            <w:tcW w:w="1188" w:type="dxa"/>
            <w:tcBorders>
              <w:bottom w:val="single" w:sz="4" w:space="0" w:color="auto"/>
            </w:tcBorders>
          </w:tcPr>
          <w:p w14:paraId="18B6E1B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0010-0260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14:paraId="3AFE02D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NEAMHCHOSAINTÍ DÍREACHA </w:t>
            </w:r>
          </w:p>
        </w:tc>
      </w:tr>
      <w:tr w:rsidR="00BD16F2" w:rsidRPr="002A677E" w14:paraId="1885F66F" w14:textId="77777777" w:rsidTr="00E07FE9">
        <w:tc>
          <w:tcPr>
            <w:tcW w:w="1188" w:type="dxa"/>
          </w:tcPr>
          <w:p w14:paraId="2E4036E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0010-0140</w:t>
            </w:r>
          </w:p>
        </w:tc>
        <w:tc>
          <w:tcPr>
            <w:tcW w:w="8640" w:type="dxa"/>
          </w:tcPr>
          <w:p w14:paraId="70877AF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NEAMHCHOSAINTÍ LAISTIGH DEN CHLÁR COMHARDAITHE</w:t>
            </w:r>
          </w:p>
        </w:tc>
      </w:tr>
      <w:tr w:rsidR="00BD16F2" w:rsidRPr="002A677E" w14:paraId="413E33AD" w14:textId="77777777" w:rsidTr="00E07FE9">
        <w:tc>
          <w:tcPr>
            <w:tcW w:w="1188" w:type="dxa"/>
          </w:tcPr>
          <w:p w14:paraId="664BAE8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00745A3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Suim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ghlanluacha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chomhlán iomlán na sócmhainní airgeadais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neamhdhíorthacha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  <w:p w14:paraId="0AB51D7D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138F86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Comhiomlán na suime </w:t>
            </w:r>
            <w:proofErr w:type="spellStart"/>
            <w:r>
              <w:rPr>
                <w:rFonts w:ascii="Times New Roman" w:hAnsi="Times New Roman"/>
                <w:sz w:val="24"/>
              </w:rPr>
              <w:t>glanluacha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comhláine, mar a chinntear i gcomhréir le mír 34 de Chuid 1 d’Iarscríbhinn V a ghabhann leis an Rialachán Cur Chun Feidhme seo, de shócmhainní airgeadais </w:t>
            </w:r>
            <w:proofErr w:type="spellStart"/>
            <w:r>
              <w:rPr>
                <w:rFonts w:ascii="Times New Roman" w:hAnsi="Times New Roman"/>
                <w:sz w:val="24"/>
              </w:rPr>
              <w:t>neamhdhíorthach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chuig Rialtais ghinearálta, le haghaidh gach punainne cuntasaíochta faoi IFRS nó GAAP náisiúnta bunaithe ar Threoir 86/635/CEE ón gComhairle a shainmhínítear i míreanna 15 go 22 de Chuid 1 d’Iarscríbhinn V a ghabhann leis an Rialachán Cur Chun Feidhme seo, agus a liostaítear i gcolúin 0030 go 0120 </w:t>
            </w:r>
          </w:p>
          <w:p w14:paraId="619EBBB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2194E68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Ní laghdófar le coigeartuithe luachála stuama an tsuim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chomhlán a bhaineann 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trádála agus </w:t>
            </w:r>
            <w:proofErr w:type="spellStart"/>
            <w:r>
              <w:rPr>
                <w:rFonts w:ascii="Times New Roman" w:hAnsi="Times New Roman"/>
                <w:sz w:val="24"/>
              </w:rPr>
              <w:t>neamhthrádála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thomhaistear ar luach cóir.</w:t>
            </w:r>
          </w:p>
          <w:p w14:paraId="685C8A9A" w14:textId="77777777" w:rsidR="00BD16F2" w:rsidRPr="002A677E" w:rsidRDefault="00BD16F2" w:rsidP="00E07FE9">
            <w:pPr>
              <w:spacing w:before="0" w:after="0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044EE26" w14:textId="77777777" w:rsidTr="00E07FE9">
        <w:tc>
          <w:tcPr>
            <w:tcW w:w="1188" w:type="dxa"/>
          </w:tcPr>
          <w:p w14:paraId="0A5145B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640" w:type="dxa"/>
          </w:tcPr>
          <w:p w14:paraId="6AED785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Suim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ghlanluacha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chomhlán iomlán na sócmhainní airgeadais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neamhdhíorthacha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(glan ar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shuíomhanna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gearra)</w:t>
            </w:r>
          </w:p>
          <w:p w14:paraId="332DA3A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8EC0A9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Comhiomlán na suime </w:t>
            </w:r>
            <w:proofErr w:type="spellStart"/>
            <w:r>
              <w:rPr>
                <w:rFonts w:ascii="Times New Roman" w:hAnsi="Times New Roman"/>
                <w:sz w:val="24"/>
              </w:rPr>
              <w:t>glanluacha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dá dtagraítear i mír 27 de Chuid 1 d’Iarscríbhinn V a ghabhann leis an Rialachán Cur Chun Feidhme seo, de shócmhainní airgeadais </w:t>
            </w:r>
            <w:proofErr w:type="spellStart"/>
            <w:r>
              <w:rPr>
                <w:rFonts w:ascii="Times New Roman" w:hAnsi="Times New Roman"/>
                <w:sz w:val="24"/>
              </w:rPr>
              <w:t>neamhdhíorthach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chuig Rialtais ghinearálta le haghaidh gach punainne cuntasaíochta faoi IFRS nó GAAP náisiúnta bunaithe ar Threoir 86/635/CEE ón gComhairle a shainmhínítear i míreanna 15 go 22 de Chuid 1 d’Iarscríbhinn V a ghabhann leis an Rialachán Cur Chun Feidhme seo agus a liostaítear i gcolúin 0030 go 0120, glan ar </w:t>
            </w:r>
            <w:proofErr w:type="spellStart"/>
            <w:r>
              <w:rPr>
                <w:rFonts w:ascii="Times New Roman" w:hAnsi="Times New Roman"/>
                <w:sz w:val="24"/>
              </w:rPr>
              <w:t>shuíomhanna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gearra.</w:t>
            </w:r>
          </w:p>
          <w:p w14:paraId="12603E2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13CD6E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ina bhfuil suíomh gearr ag an institiúid le haghaidh na haibíochta iarmhair céanna agus le haghaidh an </w:t>
            </w:r>
            <w:proofErr w:type="spellStart"/>
            <w:r>
              <w:rPr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láithrigh chéanna a ainmnítear san airgeadra céanna, déanfar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tsuímh ghearr a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ghlanluacháil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 aghaidh shuim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tsuímh dhírigh. Measfar an glanmhéid sin a bheith ina nialas i gcás inar méid diúltach é. I gcás ina bhfuil suíomh gearr ag institiúid gan suíomh díreach comhoiriúnaithe, measfar gur nialas é méid an tsuímh ghearr chun críocha an cholúin seo. </w:t>
            </w:r>
          </w:p>
          <w:p w14:paraId="660D1E01" w14:textId="77777777" w:rsidR="00BD16F2" w:rsidRPr="002A677E" w:rsidDel="00FB1EBF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9C0277B" w14:textId="77777777" w:rsidTr="00E07FE9">
        <w:tc>
          <w:tcPr>
            <w:tcW w:w="1188" w:type="dxa"/>
          </w:tcPr>
          <w:p w14:paraId="0F70DCD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0030-0120</w:t>
            </w:r>
          </w:p>
        </w:tc>
        <w:tc>
          <w:tcPr>
            <w:tcW w:w="8640" w:type="dxa"/>
          </w:tcPr>
          <w:p w14:paraId="77D5881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SÓCMHAINNÍ AIRGEADAIS NEAMHDHÍORTHACH DE RÉIR PUNANNA CUNTASAÍOCHTA</w:t>
            </w:r>
          </w:p>
          <w:p w14:paraId="55D3901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04C586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chomhiomlán sócmhainní airgeadais </w:t>
            </w:r>
            <w:proofErr w:type="spellStart"/>
            <w:r>
              <w:rPr>
                <w:rFonts w:ascii="Times New Roman" w:hAnsi="Times New Roman"/>
                <w:sz w:val="24"/>
              </w:rPr>
              <w:t>neamhdhíorthach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mar a shainmhínítear sa ró lastuas den tábla seo, ar Rialtais ghinearálta, a </w:t>
            </w:r>
            <w:proofErr w:type="spellStart"/>
            <w:r>
              <w:rPr>
                <w:rFonts w:ascii="Times New Roman" w:hAnsi="Times New Roman"/>
                <w:sz w:val="24"/>
              </w:rPr>
              <w:t>mhiondealaítear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réir punann chuntasaíochta faoin gcreat cuntasaíochta is infheidhme.</w:t>
            </w:r>
          </w:p>
          <w:p w14:paraId="7BE8B6F7" w14:textId="77777777" w:rsidR="00BD16F2" w:rsidRPr="002A677E" w:rsidDel="00FB1EBF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4CB956EC" w14:textId="77777777" w:rsidTr="00E07FE9">
        <w:tc>
          <w:tcPr>
            <w:tcW w:w="1188" w:type="dxa"/>
          </w:tcPr>
          <w:p w14:paraId="4BB7560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640" w:type="dxa"/>
          </w:tcPr>
          <w:p w14:paraId="536B204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Sócmhainní airgeadais arna sealbhú lena dtrádáil</w:t>
            </w:r>
          </w:p>
          <w:p w14:paraId="4FC3362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0F01BD5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IFRS 7.8(a)(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); IFRS 9 Aguisín A.</w:t>
            </w:r>
          </w:p>
          <w:p w14:paraId="50C911B6" w14:textId="77777777" w:rsidR="00BD16F2" w:rsidRPr="002A677E" w:rsidDel="00FB1EBF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CBFCB6F" w14:textId="77777777" w:rsidTr="00E07FE9">
        <w:tc>
          <w:tcPr>
            <w:tcW w:w="1188" w:type="dxa"/>
          </w:tcPr>
          <w:p w14:paraId="7D48737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640" w:type="dxa"/>
          </w:tcPr>
          <w:p w14:paraId="5F82DDB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Sócmhainní airgeadais trádála</w:t>
            </w:r>
          </w:p>
          <w:p w14:paraId="3A7FCF8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448598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Airteagail 32 agus 33 de Threoir 86/635/CEE ón gComhairle; Mír 16 de Chuid 1 d’Iarscríbhinn V a ghabhann leis an Rialachán Cur Chun Feidhme seo; Airteagal 8(1), pointe (a), de Threoir 2013/34/AE</w:t>
            </w:r>
          </w:p>
          <w:p w14:paraId="769FB62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81C111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Níl sé le tuairisciú ag institiúidí ach amháin faoi Phrionsabail Chuntasaíochta náisiúnta a bhfuil Glacadh leo go Ginearálta (GAAP).</w:t>
            </w:r>
          </w:p>
          <w:p w14:paraId="17C99E04" w14:textId="77777777" w:rsidR="00BD16F2" w:rsidRPr="002A677E" w:rsidDel="00FB1EBF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2CC2036" w14:textId="77777777" w:rsidTr="00E07FE9">
        <w:tc>
          <w:tcPr>
            <w:tcW w:w="1188" w:type="dxa"/>
          </w:tcPr>
          <w:p w14:paraId="54EC1BD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640" w:type="dxa"/>
          </w:tcPr>
          <w:p w14:paraId="00F501F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Sócmhainní airgeadais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neamhthrádála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ar luach cóir go héigeantach trí bhrabús nó caillteanas</w:t>
            </w:r>
          </w:p>
          <w:p w14:paraId="525A1C8D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6063EA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IFRS 7.8(a)(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); IFRS 9.4.1.4</w:t>
            </w:r>
          </w:p>
          <w:p w14:paraId="189EE53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00ABA4B2" w14:textId="77777777" w:rsidTr="00E07FE9">
        <w:tc>
          <w:tcPr>
            <w:tcW w:w="1188" w:type="dxa"/>
          </w:tcPr>
          <w:p w14:paraId="0BFC780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6F96930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Sócmhainní airgeadais atá ainmnithe ar luach cóir trí bhrabús nó caillteanas</w:t>
            </w:r>
          </w:p>
          <w:p w14:paraId="7E92E9C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520464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IFRS 7.8(a)(i); IFRS 9.4.1.5 agus Airteagal 8(1), pointe (a) agus Airteagal 8(6) de Threoir 2013/34/AE</w:t>
            </w:r>
          </w:p>
          <w:p w14:paraId="2235AFF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7BF23D09" w14:textId="77777777" w:rsidTr="00E07FE9">
        <w:tc>
          <w:tcPr>
            <w:tcW w:w="1188" w:type="dxa"/>
          </w:tcPr>
          <w:p w14:paraId="53D9E29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68D7390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Sócmhainní airgeadais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neamhthrádála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neamhdhíorthacha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arna dtomhas ar luach cóir trí bhrabús nó caillteanas</w:t>
            </w:r>
          </w:p>
          <w:p w14:paraId="23B3123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27CD9D1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36(2) de Threoir 86/635/CEE ón gComhairle; Airteagal 8(1), pointe (a), de Threoir 2013/34/AE</w:t>
            </w:r>
          </w:p>
          <w:p w14:paraId="160F890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D08313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Níl sé le tuairisciú ag institiúidí ach amháin faoi Phrionsabail Chuntasaíochta náisiúnta a bhfuil Glacadh leo go Ginearálta (GAAP).</w:t>
            </w:r>
          </w:p>
          <w:p w14:paraId="6E56331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73B60CBD" w14:textId="77777777" w:rsidTr="00E07FE9">
        <w:tc>
          <w:tcPr>
            <w:tcW w:w="1188" w:type="dxa"/>
          </w:tcPr>
          <w:p w14:paraId="171C7A1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640" w:type="dxa"/>
          </w:tcPr>
          <w:p w14:paraId="3A843C3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Sócmhainní airgeadais ar luach cóir trí ioncam cuimsitheach eile</w:t>
            </w:r>
          </w:p>
          <w:p w14:paraId="7E05DEF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248A32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IFRS 7.8(d); IFRS 9.4.1.2A</w:t>
            </w:r>
          </w:p>
          <w:p w14:paraId="77A7996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lang w:eastAsia="de-DE"/>
              </w:rPr>
            </w:pPr>
          </w:p>
        </w:tc>
      </w:tr>
      <w:tr w:rsidR="00BD16F2" w:rsidRPr="002A677E" w14:paraId="3D4CCA12" w14:textId="77777777" w:rsidTr="00E07FE9">
        <w:tc>
          <w:tcPr>
            <w:tcW w:w="1188" w:type="dxa"/>
          </w:tcPr>
          <w:p w14:paraId="2A13B19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8640" w:type="dxa"/>
          </w:tcPr>
          <w:p w14:paraId="508FA16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Sócmhainní airgeadais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neamhthrádála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neamhdhíorthacha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arna dtomhas ar luach cóir chuig cothromas</w:t>
            </w:r>
          </w:p>
          <w:p w14:paraId="312EC55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A54FF1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8(1), pointe (a) agus Airteagal 8(8) de Threoir 2013/34/AE</w:t>
            </w:r>
          </w:p>
          <w:p w14:paraId="59CB959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237639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Níl sé le tuairisciú ag institiúidí ach amháin faoi Phrionsabail Chuntasaíochta náisiúnta a bhfuil Glacadh leo go Ginearálta (GAAP).</w:t>
            </w:r>
          </w:p>
          <w:p w14:paraId="51F4F44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62F74C49" w14:textId="77777777" w:rsidTr="00E07FE9">
        <w:tc>
          <w:tcPr>
            <w:tcW w:w="1188" w:type="dxa"/>
          </w:tcPr>
          <w:p w14:paraId="45F0F2C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640" w:type="dxa"/>
          </w:tcPr>
          <w:p w14:paraId="479F694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Sócmhainní airgeadais ar chostas amúchta</w:t>
            </w:r>
          </w:p>
          <w:p w14:paraId="4996BB9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6A72775" w14:textId="77777777" w:rsidR="00BD16F2" w:rsidRPr="002A677E" w:rsidDel="00501397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IFRS 7.8(f); IFRS 9.4.1.2; Mír 15 de Chuid 1 d’Iarscríbhinn V a ghabhann leis an Rialachán Cur Chun Feidhme seo</w:t>
            </w:r>
          </w:p>
          <w:p w14:paraId="45A195A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6390405B" w14:textId="77777777" w:rsidTr="00E07FE9">
        <w:tc>
          <w:tcPr>
            <w:tcW w:w="1188" w:type="dxa"/>
          </w:tcPr>
          <w:p w14:paraId="443668D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640" w:type="dxa"/>
          </w:tcPr>
          <w:p w14:paraId="766084D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Sócmhainní airgeadais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neamhthrádála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neamhdhíorthacha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arna dtomhas ar mhodh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costasbhunaithe</w:t>
            </w:r>
            <w:proofErr w:type="spellEnd"/>
          </w:p>
          <w:p w14:paraId="6FD47D7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5DF723D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35 de Threoir 86/635/CEE ón gComhairle; Airteagal 6(1), pointe (i) agus Airteagal 8(2) de Threoir 2013/34/AE; Iarscríbhinn V, cuid 1, mír 16 a ghabhann leis an Rialachán Cur Chun Feidhme seo</w:t>
            </w:r>
          </w:p>
          <w:p w14:paraId="282E66CD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72A9BB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Níl sé le tuairisciú ag institiúidí ach amháin faoi Phrionsabail Chuntasaíochta náisiúnta a bhfuil Glacadh leo go Ginearálta (GAAP).</w:t>
            </w:r>
          </w:p>
          <w:p w14:paraId="58A5969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5B948604" w14:textId="77777777" w:rsidTr="00E07FE9">
        <w:tc>
          <w:tcPr>
            <w:tcW w:w="1188" w:type="dxa"/>
          </w:tcPr>
          <w:p w14:paraId="3001C0C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640" w:type="dxa"/>
          </w:tcPr>
          <w:p w14:paraId="4E4E0E8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Sócmhainní airgeadais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neamhthrádála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neamhdhíorthacha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eile</w:t>
            </w:r>
          </w:p>
          <w:p w14:paraId="238F2DC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6DBE6A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37 de Threoir 86/635/CEE ón gComhairle; Airteagal 12(7) de Threoir 2013/34/AE; Iarscríbhinn V, cuid 1, mír 16 a ghabhann leis an Rialachán Cur Chun Feidhme seo</w:t>
            </w:r>
          </w:p>
          <w:p w14:paraId="7D2BCFA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4CA551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Níl sé le tuairisciú ag institiúidí ach amháin faoi Phrionsabail Chuntasaíochta náisiúnta a bhfuil Glacadh leo go Ginearálta (GAAP).</w:t>
            </w:r>
          </w:p>
          <w:p w14:paraId="312E62E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17C8E3AA" w14:textId="77777777" w:rsidTr="00E07FE9">
        <w:tc>
          <w:tcPr>
            <w:tcW w:w="1188" w:type="dxa"/>
          </w:tcPr>
          <w:p w14:paraId="6BE6225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640" w:type="dxa"/>
          </w:tcPr>
          <w:p w14:paraId="76C04A1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Suíomhanna gearra</w:t>
            </w:r>
          </w:p>
          <w:p w14:paraId="49E7DA3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EABDCF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suíomhanna gearra, mar a shainmhínítear in IRFS 9 BA.7(b) i gcás inar Rialtas ginearálta é an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díreach mar a shainmhínítear i míreanna 155 go 160 den Iarscríbhinn seo.</w:t>
            </w:r>
          </w:p>
          <w:p w14:paraId="024950F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1B3EE0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Tagann suíomhanna gearra chun cinn i gcás ina ndíolann an institiúid urrúis a fuarthas in iasacht athcheannaigh droim ar ais nó a fuarthas ar iasacht in idirbheart maidir le hiasacht urrús.</w:t>
            </w:r>
          </w:p>
          <w:p w14:paraId="7EBF0AE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021370D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é luach cóir na suíomhanna gearra an tsuim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14:paraId="3EDD491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A4AC94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Déanfar suíomhanna gearra a thuairisciú de réir bhuicéad na haibíochta iarmhair, mar a liostaítear i rónna 0170 go 0230, agus de réir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láithreach. </w:t>
            </w:r>
          </w:p>
          <w:p w14:paraId="3218C7A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BAFBB6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Is féidir na suíomhanna gearra a thuairiscítear sa cholún seo a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ghlanluacháil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 aghaidh suíomhanna ag a bhfuil an aibíocht iarmhair chéanna agus an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láithreach céanna agus a ainmnítear san airgeadra céanna a thuairiscítear i gcolúin 0030 go 0120 chun an </w:t>
            </w:r>
            <w:proofErr w:type="spellStart"/>
            <w:r>
              <w:rPr>
                <w:rFonts w:ascii="Times New Roman" w:hAnsi="Times New Roman"/>
                <w:sz w:val="24"/>
              </w:rPr>
              <w:t>glansuíomh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fháil a thuairiscítear i gcolún 0020.</w:t>
            </w:r>
          </w:p>
          <w:p w14:paraId="1FB5AD5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310B3391" w14:textId="77777777" w:rsidTr="00E07FE9">
        <w:tc>
          <w:tcPr>
            <w:tcW w:w="1188" w:type="dxa"/>
          </w:tcPr>
          <w:p w14:paraId="10D2B58C" w14:textId="77777777" w:rsidR="00BD16F2" w:rsidRPr="002A677E" w:rsidDel="00E97A51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0140</w:t>
            </w:r>
          </w:p>
        </w:tc>
        <w:tc>
          <w:tcPr>
            <w:tcW w:w="8640" w:type="dxa"/>
          </w:tcPr>
          <w:p w14:paraId="7E8B659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Ar díobh sin: Suíomhanna gearra ó iasachtaí athcheannaigh droim ar ais a aicmítear mar iasachtaí arna sealbhú lena dtrádáil nó sócmhainní airgeadais trádála</w:t>
            </w:r>
          </w:p>
          <w:p w14:paraId="44C558B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1E9AF9C" w14:textId="7772F6F1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suíomhanna gearra, mar a shainmhínítear in IRFS 9 BA.7(b), a thagann chun cinn nuair a dhíolann an institiúid na </w:t>
            </w:r>
            <w:proofErr w:type="spellStart"/>
            <w:r>
              <w:rPr>
                <w:rFonts w:ascii="Times New Roman" w:hAnsi="Times New Roman"/>
                <w:sz w:val="24"/>
              </w:rPr>
              <w:t>hurrúis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fuarthas in iasachtaí athcheannaigh droim ar ais, i gcás inar Rialtas ginearálta é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díreach na </w:t>
            </w:r>
            <w:r w:rsidR="00A1751F">
              <w:rPr>
                <w:rFonts w:ascii="Times New Roman" w:hAnsi="Times New Roman"/>
                <w:sz w:val="24"/>
              </w:rPr>
              <w:t>n</w:t>
            </w:r>
            <w:r w:rsidR="00A1751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urrús sin agus go gcuirtear san áireamh iad i bpunanna cuntasaíochta arna sealbhú lena dtrádáil nó i bpunanna cuntasaíochta sócmhainní airgeadais trádála (colúin 0030 nó 0040).</w:t>
            </w:r>
          </w:p>
          <w:p w14:paraId="5D02DDE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52086FF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Ní áireofar sa cholún seo suíomhanna gearra a thagann chun cinn nuair a fuarthas na </w:t>
            </w:r>
            <w:proofErr w:type="spellStart"/>
            <w:r>
              <w:rPr>
                <w:rFonts w:ascii="Times New Roman" w:hAnsi="Times New Roman"/>
                <w:sz w:val="24"/>
              </w:rPr>
              <w:t>hurrúis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díoladh ar iasacht i </w:t>
            </w:r>
            <w:proofErr w:type="spellStart"/>
            <w:r>
              <w:rPr>
                <w:rFonts w:ascii="Times New Roman" w:hAnsi="Times New Roman"/>
                <w:sz w:val="24"/>
              </w:rPr>
              <w:t>dtrasdul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iasachta urrúis. </w:t>
            </w:r>
          </w:p>
          <w:p w14:paraId="28BB35C9" w14:textId="77777777" w:rsidR="00BD16F2" w:rsidRPr="002A677E" w:rsidDel="00E97A51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:rsidDel="004A25FD" w14:paraId="116E41A1" w14:textId="77777777" w:rsidTr="00E07FE9">
        <w:tc>
          <w:tcPr>
            <w:tcW w:w="1188" w:type="dxa"/>
          </w:tcPr>
          <w:p w14:paraId="15C60976" w14:textId="77777777" w:rsidR="00BD16F2" w:rsidRPr="002A677E" w:rsidDel="004A25FD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640" w:type="dxa"/>
          </w:tcPr>
          <w:p w14:paraId="6965A7C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Lagú carntha</w:t>
            </w:r>
          </w:p>
          <w:p w14:paraId="7BE2EBD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4B7F645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Lagú carntha comhiomlán a bhaineann le sócmhainní airgeadais </w:t>
            </w:r>
            <w:proofErr w:type="spellStart"/>
            <w:r>
              <w:rPr>
                <w:rFonts w:ascii="Times New Roman" w:hAnsi="Times New Roman"/>
                <w:sz w:val="24"/>
              </w:rPr>
              <w:t>neamhdhíorthach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thuairiscítear i gcolúin 0080 go 0120 (míreanna 70 agus 71 de Chuid 2 d’Iarscríbhinn V a ghabhann leis an Rialachán Cur Chun Feidhme seo)</w:t>
            </w:r>
          </w:p>
          <w:p w14:paraId="7138219C" w14:textId="77777777" w:rsidR="00BD16F2" w:rsidRPr="002A677E" w:rsidDel="004A25FD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07DBEB5" w14:textId="77777777" w:rsidTr="00E07FE9">
        <w:tc>
          <w:tcPr>
            <w:tcW w:w="1188" w:type="dxa"/>
          </w:tcPr>
          <w:p w14:paraId="4DD87CF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640" w:type="dxa"/>
          </w:tcPr>
          <w:p w14:paraId="053E70B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Lagú carntha – ar díobh sin: ó shócmhainní airgeadais ar luach cóir trí ioncam cuimsitheach eile nó ó shócmhainní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neamhthrádála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neamhdhíorthacha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arna dtomhas ar luach cóir maidir le cothromais</w:t>
            </w:r>
          </w:p>
          <w:p w14:paraId="4776C85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32EF88D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Comhiomlán de lagú carntha a bhaineann le sócmhainní airgeadais </w:t>
            </w:r>
            <w:proofErr w:type="spellStart"/>
            <w:r>
              <w:rPr>
                <w:rFonts w:ascii="Times New Roman" w:hAnsi="Times New Roman"/>
                <w:sz w:val="24"/>
              </w:rPr>
              <w:t>neamhdhíorthach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thuairiscítear i gcolúin 0080 go 0090. </w:t>
            </w:r>
          </w:p>
          <w:p w14:paraId="2A62846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:rsidDel="004A25FD" w14:paraId="37982893" w14:textId="77777777" w:rsidTr="00E07FE9">
        <w:tc>
          <w:tcPr>
            <w:tcW w:w="1188" w:type="dxa"/>
          </w:tcPr>
          <w:p w14:paraId="1309D915" w14:textId="77777777" w:rsidR="00BD16F2" w:rsidRPr="002A677E" w:rsidDel="004A25FD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8640" w:type="dxa"/>
          </w:tcPr>
          <w:p w14:paraId="7BD9BE5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Athruithe diúltacha carntha sa luach cóir mar gheall ar riosca creidmheasa </w:t>
            </w:r>
          </w:p>
          <w:p w14:paraId="6B68D76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301CF16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Comhiomlán d’athruithe diúltacha carntha sa luach cóir mar gheall ar riosca creidmheasa a bhaineann le suíomhanna a chuirtear in iúl i gcolúin 0050, 0060, 0070, 0080 agus 0090 (mír 69 de Chuid 2 d’Iarscríbhinn V a ghabhann leis an Rialachán Cur Chun Feidhme seo)</w:t>
            </w:r>
          </w:p>
          <w:p w14:paraId="61669612" w14:textId="77777777" w:rsidR="00BD16F2" w:rsidRPr="002A677E" w:rsidDel="004A25FD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0273A3BB" w14:textId="77777777" w:rsidTr="00E07FE9">
        <w:tc>
          <w:tcPr>
            <w:tcW w:w="1188" w:type="dxa"/>
          </w:tcPr>
          <w:p w14:paraId="635968C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8640" w:type="dxa"/>
          </w:tcPr>
          <w:p w14:paraId="781601F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Athruithe diúltacha carntha sa luach cóir mar gheall ar riosca creidmheasa – ar díobh sin: ó shócmhainní airgeadais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neamhthrádála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go héigeantach ar luach cóir trí bhrabús nó caillteanas, sócmhainní airgeadais atá ainmnithe ar luach cóir trí bhrabús nó caillteanas nó ó shócmhainní airgeadais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neamhthrádála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 thomhaistear ar luach cóir trí bhrabús nó caillteanas</w:t>
            </w:r>
          </w:p>
          <w:p w14:paraId="7F56793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374D8A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Comhiomlán d’athruithe diúltacha carntha sa luach cóir mar gheall ar riosca creidmheasa a bhaineann le suíomhanna a chuirtear in iúl i gcolúin 0050, 0060 agus 0070.</w:t>
            </w:r>
          </w:p>
          <w:p w14:paraId="24A9000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</w:tc>
      </w:tr>
      <w:tr w:rsidR="00BD16F2" w:rsidRPr="002A677E" w14:paraId="500AF04F" w14:textId="77777777" w:rsidTr="00E07FE9">
        <w:tc>
          <w:tcPr>
            <w:tcW w:w="1188" w:type="dxa"/>
          </w:tcPr>
          <w:p w14:paraId="295CE87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0190</w:t>
            </w:r>
          </w:p>
        </w:tc>
        <w:tc>
          <w:tcPr>
            <w:tcW w:w="8640" w:type="dxa"/>
          </w:tcPr>
          <w:p w14:paraId="6C4F0B86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Athruithe diúltacha carntha sa luach cóir mar gheall ar riosca creidmheasa – ar díobh sin: ó shócmhainní airgeadais ar luach cóir trí ioncam cuimsitheach eile nó ó shócmhainní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neamhthrádála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neamhdhíorthacha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arna dtomhas ar luach cóir maidir le cothromais</w:t>
            </w:r>
          </w:p>
          <w:p w14:paraId="2F7A12E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934389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Comhiomlán d’athruithe diúltacha carntha sa luach cóir mar gheall ar riosca creidmheasa a bhaineann le suíomhanna a chuirtear in iúl i gcolúin 0080 agus 0090.</w:t>
            </w:r>
          </w:p>
          <w:p w14:paraId="636C627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7162555E" w14:textId="77777777" w:rsidTr="00E07FE9">
        <w:tc>
          <w:tcPr>
            <w:tcW w:w="1188" w:type="dxa"/>
          </w:tcPr>
          <w:p w14:paraId="4EB1E88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0200-0230</w:t>
            </w:r>
          </w:p>
        </w:tc>
        <w:tc>
          <w:tcPr>
            <w:tcW w:w="8640" w:type="dxa"/>
          </w:tcPr>
          <w:p w14:paraId="1A3371F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DÍORTHAIGH</w:t>
            </w:r>
          </w:p>
          <w:p w14:paraId="42A7FD8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41B5F3F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Tuairisceofar suíomhanna díorthacha díreacha i gcolúin 0200 go 0230.</w:t>
            </w:r>
          </w:p>
          <w:p w14:paraId="7C5E29D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437823C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Chun díorthaigh a thuairisciú atá faoi réir riosca creidmheasa an </w:t>
            </w:r>
            <w:proofErr w:type="spellStart"/>
            <w:r>
              <w:rPr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aon le muirir chaipitil um riosca margaidh, féach na treoracha maidir leis an miondealú ró.</w:t>
            </w:r>
          </w:p>
          <w:p w14:paraId="7300665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44164F01" w14:textId="77777777" w:rsidTr="00E07FE9">
        <w:tc>
          <w:tcPr>
            <w:tcW w:w="1188" w:type="dxa"/>
          </w:tcPr>
          <w:p w14:paraId="6471E17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0200-0210</w:t>
            </w:r>
          </w:p>
        </w:tc>
        <w:tc>
          <w:tcPr>
            <w:tcW w:w="8640" w:type="dxa"/>
          </w:tcPr>
          <w:p w14:paraId="7FE3AF3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Díorthaigh a bhfuil luach cóir deimhneach acu</w:t>
            </w:r>
          </w:p>
          <w:p w14:paraId="5CC54C5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80E4F32" w14:textId="76FFE600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Gach ionstraim dhíorthach le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is Rialtas ginearálta a bhfuil luach cóir deimhneach aici maidir leis an institiúid ar an dáta tuairiscithe, gan beann ar cé acu a úsáidtear nó nach </w:t>
            </w:r>
            <w:r w:rsidR="00A1751F">
              <w:rPr>
                <w:rFonts w:ascii="Times New Roman" w:hAnsi="Times New Roman"/>
                <w:sz w:val="24"/>
              </w:rPr>
              <w:t>n</w:t>
            </w:r>
            <w:r w:rsidR="00A1751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úsáidtear na </w:t>
            </w:r>
            <w:proofErr w:type="spellStart"/>
            <w:r>
              <w:rPr>
                <w:rFonts w:ascii="Times New Roman" w:hAnsi="Times New Roman"/>
                <w:sz w:val="24"/>
              </w:rPr>
              <w:t>hionstraimí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 i ngaolmhaireacht fálaithe cháilitheach, cé acu a </w:t>
            </w:r>
            <w:proofErr w:type="spellStart"/>
            <w:r>
              <w:rPr>
                <w:rFonts w:ascii="Times New Roman" w:hAnsi="Times New Roman"/>
                <w:sz w:val="24"/>
              </w:rPr>
              <w:t>shealbhaítear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nach sealbhaítear lena dtrádáil iad, nó cé acu a chuirtear nó ngach gcuirtear san áireamh sa </w:t>
            </w:r>
            <w:proofErr w:type="spellStart"/>
            <w:r>
              <w:rPr>
                <w:rFonts w:ascii="Times New Roman" w:hAnsi="Times New Roman"/>
                <w:sz w:val="24"/>
              </w:rPr>
              <w:t>phunann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trádála iad faoi IRFS agus faoi GAAP náisiúnta bunaithe ar Threoir 86/635/CEE ón gComhairle. </w:t>
            </w:r>
          </w:p>
          <w:p w14:paraId="7800DD5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43965C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Maidir le díorthaigh a úsáidtear i </w:t>
            </w:r>
            <w:proofErr w:type="spellStart"/>
            <w:r>
              <w:rPr>
                <w:rFonts w:ascii="Times New Roman" w:hAnsi="Times New Roman"/>
                <w:sz w:val="24"/>
              </w:rPr>
              <w:t>bhfálú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eacnamaíoch, tuairisceofar anseo iad nuair a chuirtear san áireamh iad sna punanna cuntasaíochta trádála nó sna punanna cuntasaíochta arna sealbhú lena dtrádáil (míreanna 120, 124, 125 agus 137 go 140 de Chuid 2 d’Iarscríbhinn V a ghabhann leis an Rialachán Cur Chun Feidhme seo).</w:t>
            </w:r>
          </w:p>
          <w:p w14:paraId="3903065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203987C2" w14:textId="77777777" w:rsidTr="00E07FE9">
        <w:tc>
          <w:tcPr>
            <w:tcW w:w="1188" w:type="dxa"/>
          </w:tcPr>
          <w:p w14:paraId="26E1C3B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640" w:type="dxa"/>
          </w:tcPr>
          <w:p w14:paraId="3E1D071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Díorthaigh a bhfuil luach cóir deimhneach acu Suim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ghlanluacha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  <w:p w14:paraId="7AA6A4A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607483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ndíorthach dar tugadh cuntas mar shócmhainní airgeadais ar an dáta tuairiscithe tagartha. </w:t>
            </w:r>
          </w:p>
          <w:p w14:paraId="406A9D5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5228B9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Faoi GAAP bunaithe ar Threoir 86/635/CEE ón gComhairle, ar na díorthaigh nach mór a thuairisciú sna colúin seo, tá na </w:t>
            </w:r>
            <w:proofErr w:type="spellStart"/>
            <w:r>
              <w:rPr>
                <w:rFonts w:ascii="Times New Roman" w:hAnsi="Times New Roman"/>
                <w:sz w:val="24"/>
              </w:rPr>
              <w:t>hionstraimí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díorthacha a thomhaistear ar bhonn a gcostais nó ar bhonn gcostais nó a </w:t>
            </w:r>
            <w:proofErr w:type="spellStart"/>
            <w:r>
              <w:rPr>
                <w:rFonts w:ascii="Times New Roman" w:hAnsi="Times New Roman"/>
                <w:sz w:val="24"/>
              </w:rPr>
              <w:t>margadhluacha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cibé acu is ísle, díorthaigh a áirítear sa </w:t>
            </w:r>
            <w:proofErr w:type="spellStart"/>
            <w:r>
              <w:rPr>
                <w:rFonts w:ascii="Times New Roman" w:hAnsi="Times New Roman"/>
                <w:sz w:val="24"/>
              </w:rPr>
              <w:t>phunann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trádála nó a ainmnítear mar ionstraimí fálaithe. </w:t>
            </w:r>
          </w:p>
          <w:p w14:paraId="2950EA4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64EEFF86" w14:textId="77777777" w:rsidTr="00E07FE9">
        <w:tc>
          <w:tcPr>
            <w:tcW w:w="1188" w:type="dxa"/>
          </w:tcPr>
          <w:p w14:paraId="5A19D3A6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8640" w:type="dxa"/>
          </w:tcPr>
          <w:p w14:paraId="2BD96DA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Díorthaigh a bhfuil luach cóir deimhneach acu Méid barúlach</w:t>
            </w:r>
          </w:p>
          <w:p w14:paraId="4F50A48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3C437A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Faoi IFRS agus GAAP náisiúnta bunaithe ar Threoir 86/635/CEE ón gComhairle, méid barúlach, mar a shainmhínítear i míreanna 133 go 135 de Chuid 2 d’Iarscríbhinn V a ghabhann leis an Rialachán Cur Chun Feidhme seo, de gach conradh díorthach a thugtar i gcrích agus nach bhfuil socraithe fós ar an dáta tuairiscithe tagartha, i gcás inar Rialtas ginearálta é an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a shainmhínítear i míreanna 191 go 196 den Iarscríbhinn seo agus i gcás ina bhfuil luach cóir an díorthaigh deimhneach le haghaidh na hinstitiúide ar an dáta tagartha.</w:t>
            </w:r>
          </w:p>
          <w:p w14:paraId="79985B2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7ED8172B" w14:textId="77777777" w:rsidTr="00E07FE9">
        <w:tc>
          <w:tcPr>
            <w:tcW w:w="1188" w:type="dxa"/>
          </w:tcPr>
          <w:p w14:paraId="3FCDB5C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0220-0230</w:t>
            </w:r>
          </w:p>
        </w:tc>
        <w:tc>
          <w:tcPr>
            <w:tcW w:w="8640" w:type="dxa"/>
          </w:tcPr>
          <w:p w14:paraId="51C3AE6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Díorthaigh a bhfuil luach cóir diúltach acu</w:t>
            </w:r>
          </w:p>
          <w:p w14:paraId="5B063261" w14:textId="77777777" w:rsidR="00BD16F2" w:rsidRPr="002A677E" w:rsidDel="00501397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7C79D57" w14:textId="522856FB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Gach ionstraim dhíorthach le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is Rialtas ginearálta a bhfuil luach cóir diúltach aici maidir leis an institiúid ar an dáta tuairiscithe tagartha, gan beann ar cé acu a úsáidtear nó nach </w:t>
            </w:r>
            <w:r w:rsidR="00A1751F">
              <w:rPr>
                <w:rFonts w:ascii="Times New Roman" w:hAnsi="Times New Roman"/>
                <w:sz w:val="24"/>
              </w:rPr>
              <w:t>n</w:t>
            </w:r>
            <w:r w:rsidR="00A1751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úsáidtear na </w:t>
            </w:r>
            <w:proofErr w:type="spellStart"/>
            <w:r>
              <w:rPr>
                <w:rFonts w:ascii="Times New Roman" w:hAnsi="Times New Roman"/>
                <w:sz w:val="24"/>
              </w:rPr>
              <w:t>hionstraimí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 i ngaolmhaireacht fálaithe cháilitheach, nó cé acu a </w:t>
            </w:r>
            <w:proofErr w:type="spellStart"/>
            <w:r>
              <w:rPr>
                <w:rFonts w:ascii="Times New Roman" w:hAnsi="Times New Roman"/>
                <w:sz w:val="24"/>
              </w:rPr>
              <w:t>shealbhaítear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nach sealbhaítear lena dtrádáil iad, nó cé acu a chuirtear nó nach gcuirtear san áireamh sa </w:t>
            </w:r>
            <w:proofErr w:type="spellStart"/>
            <w:r>
              <w:rPr>
                <w:rFonts w:ascii="Times New Roman" w:hAnsi="Times New Roman"/>
                <w:sz w:val="24"/>
              </w:rPr>
              <w:t>phunann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trádála iad faoi IRFS agus faoi GAAP náisiúnta bunaithe ar Threoir 86/635/CEE ón gComhairle. </w:t>
            </w:r>
          </w:p>
          <w:p w14:paraId="5FEBCDD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445D7D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Maidir le díorthaigh a úsáidtear i </w:t>
            </w:r>
            <w:proofErr w:type="spellStart"/>
            <w:r>
              <w:rPr>
                <w:rFonts w:ascii="Times New Roman" w:hAnsi="Times New Roman"/>
                <w:sz w:val="24"/>
              </w:rPr>
              <w:t>bhfálú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eacnamaíoch, tuairisceofar anseo iad nuair a chuirtear san áireamh iad sna punanna cuntasaíochta trádála nó sna punanna cuntasaíochta arna sealbhú lena dtrádáil (míreanna 120, 124, 125 agus 137 go 140 de Chuid 2 d’Iarscríbhinn V a ghabhann leis an Rialachán Cur Chun Feidhme seo).</w:t>
            </w:r>
          </w:p>
          <w:p w14:paraId="367698F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0ADAA22F" w14:textId="77777777" w:rsidTr="00E07FE9">
        <w:tc>
          <w:tcPr>
            <w:tcW w:w="1188" w:type="dxa"/>
          </w:tcPr>
          <w:p w14:paraId="42FDD71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8640" w:type="dxa"/>
          </w:tcPr>
          <w:p w14:paraId="1F315A9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Díorthaigh a bhfuil luach cóir diúltach acu: Suim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ghlanluacha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  <w:p w14:paraId="436DD09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6E6FF8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ndíorthach dar tugadh cuntas mar dhliteanais airgeadais ar an dáta tuairiscithe tagartha. </w:t>
            </w:r>
          </w:p>
          <w:p w14:paraId="46E4AD8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DE1568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Faoi GAAP bunaithe ar Threoir 86/635/CEE ón gComhairle, ar na díorthaigh nach mór a thuairisciú sna colúin seo, tá na </w:t>
            </w:r>
            <w:proofErr w:type="spellStart"/>
            <w:r>
              <w:rPr>
                <w:rFonts w:ascii="Times New Roman" w:hAnsi="Times New Roman"/>
                <w:sz w:val="24"/>
              </w:rPr>
              <w:t>hionstraimí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díorthacha a thomhaistear ar bhonn a gcostais nó ar bhonn gcostais nó a </w:t>
            </w:r>
            <w:proofErr w:type="spellStart"/>
            <w:r>
              <w:rPr>
                <w:rFonts w:ascii="Times New Roman" w:hAnsi="Times New Roman"/>
                <w:sz w:val="24"/>
              </w:rPr>
              <w:t>margadhluacha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cibé acu is ísle, díorthaigh a áirítear sa </w:t>
            </w:r>
            <w:proofErr w:type="spellStart"/>
            <w:r>
              <w:rPr>
                <w:rFonts w:ascii="Times New Roman" w:hAnsi="Times New Roman"/>
                <w:sz w:val="24"/>
              </w:rPr>
              <w:t>phunann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trádála nó a ainmnítear mar ionstraimí fálaithe. </w:t>
            </w:r>
          </w:p>
          <w:p w14:paraId="58C14E0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7D9D4E1E" w14:textId="77777777" w:rsidTr="00E07FE9">
        <w:tc>
          <w:tcPr>
            <w:tcW w:w="1188" w:type="dxa"/>
          </w:tcPr>
          <w:p w14:paraId="008C976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8640" w:type="dxa"/>
          </w:tcPr>
          <w:p w14:paraId="2C9A0CD6" w14:textId="77777777" w:rsidR="00BD16F2" w:rsidRPr="002A677E" w:rsidRDefault="00BD16F2" w:rsidP="00E07FE9">
            <w:pPr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Díorthaigh a bhfuil luach cóir diúltach acu: Méid barúlach</w:t>
            </w:r>
          </w:p>
          <w:p w14:paraId="2CEB383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56D8B6D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Faoi IFRS agus faoi GAAP náisiúnta bunaithe ar Threoir 86/635/CEE ón gComhairle, méid barúlach, mar a shainmhínítear i míreanna 133 go 135 de Chuid 2 d’Iarscríbhinn V a ghabhann leis an Rialachán Cur Chun Feidhme seo, de gach conradh díorthach a thugtar i gcrích agus nach bhfuil socraithe fós ar an dáta tagartha, i gcás inar Rialtas ginearálta é an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a shainmhínítear i míreanna 191 go 196 den Iarscríbhinn seo agus i gcás ina bhfuil luach cóir an díorthaigh diúltach le haghaidh na hinstitiúide ar an dáta tagartha.</w:t>
            </w:r>
          </w:p>
          <w:p w14:paraId="52EA326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3D6F0C0B" w14:textId="77777777" w:rsidTr="00E07FE9">
        <w:tc>
          <w:tcPr>
            <w:tcW w:w="1188" w:type="dxa"/>
          </w:tcPr>
          <w:p w14:paraId="16CAE2E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0240-0260</w:t>
            </w:r>
          </w:p>
        </w:tc>
        <w:tc>
          <w:tcPr>
            <w:tcW w:w="8640" w:type="dxa"/>
          </w:tcPr>
          <w:p w14:paraId="006F0066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NEAMHCHOSAINTÍ LASMUIGH DEN CHLÁR COMHARDAITHE</w:t>
            </w:r>
          </w:p>
        </w:tc>
      </w:tr>
      <w:tr w:rsidR="00BD16F2" w:rsidRPr="002A677E" w14:paraId="3F090DAF" w14:textId="77777777" w:rsidTr="00E07FE9">
        <w:tc>
          <w:tcPr>
            <w:tcW w:w="1188" w:type="dxa"/>
          </w:tcPr>
          <w:p w14:paraId="682DC44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8640" w:type="dxa"/>
          </w:tcPr>
          <w:p w14:paraId="3ED0E67D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Méid ainmniúil</w:t>
            </w:r>
          </w:p>
          <w:p w14:paraId="6F27107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8AEA06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inar Rialtas ginearálta é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díreach na hítime lasmuigh den chlár comhardaithe, mar a shainmhínítear i míreanna 155 go 160 den Iarscríbhinn seo, méid ainmniúil na ngealltanas agus na ráthaíochtaí airgeadais nach meastar mar dhíorthach i gcomhréir le IFRS nó faoi GAAP náisiúnta bunaithe ar Threoir 86/635/CEE ón gComhairle (míreanna 102-119 de Chuid 2 d’Iarscríbhinn V a ghabhann leis an Rialachán Cur Chun Feidhme seo).</w:t>
            </w:r>
          </w:p>
          <w:p w14:paraId="6E4BA7A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76B28D3" w14:textId="77777777" w:rsidR="00BD16F2" w:rsidRPr="002A677E" w:rsidDel="00501397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I gcomhréir le míreanna 43 agus 44 de Chuid 2 d’Iarscríbhinn V a ghabhann leis an Rialachán Cur Chun Feidhme seo, is é an Rialtas ginearálta an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díreach: i ráthaíocht airgeadais a thugtar, nuair is é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díreach na hionstraime fiachais ráthaithe é, agus (b) i ngealltanas iasachta agus i ngealltanas tugtha eile, nuair is é an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nglacann an institiúid tuairiscithe a riosca creidmheasa. </w:t>
            </w:r>
          </w:p>
          <w:p w14:paraId="150A166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1326667D" w14:textId="77777777" w:rsidTr="00E07FE9">
        <w:tc>
          <w:tcPr>
            <w:tcW w:w="1188" w:type="dxa"/>
          </w:tcPr>
          <w:p w14:paraId="595EBDE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0250</w:t>
            </w:r>
          </w:p>
        </w:tc>
        <w:tc>
          <w:tcPr>
            <w:tcW w:w="8640" w:type="dxa"/>
          </w:tcPr>
          <w:p w14:paraId="22A7294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Soláthairtí</w:t>
            </w:r>
          </w:p>
          <w:p w14:paraId="01E70F5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8434256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4, ‘Dliteanais’, pointe (6)(c) agus ‘Ítimí lasmuigh den chlár comhardaithe’, Airteagal 27(11), Airteagal 28(8) agus Airteagal 33 de Threoir 86/635/CEE ón gComhairle; IFRS 9.4.2.1(c)(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),(d)(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), 9.5.5.20; IAS 37, IFRS 4, cuid 2.11 d’Iarscríbhinn V a ghabhann leis an Rialachán Cur Chun Feidhme seo.</w:t>
            </w:r>
          </w:p>
          <w:p w14:paraId="6754A1A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4CA6E4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Soláirtí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uile lasmuigh den chlár comhardaithe gan beann ar an mbealach a ndéantar iad a thomhas, seachas iad sin a dhéantar a thomhas ar luach cóir trí bhrabús nó caillteanas i gcomhréir le IFRS 9.</w:t>
            </w:r>
          </w:p>
          <w:p w14:paraId="54F5F8E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B5B997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Faoi IFRS, tuairisceofar lagú gealltanais iasachta tugtha i gcolún 150 i gcás nach féidir leis an institiúid na caillteanais chreidmheasa ionchasacha a shainaithint ar leithligh i gcás ina mbaineann siad le méid tarraingthe agus </w:t>
            </w:r>
            <w:proofErr w:type="spellStart"/>
            <w:r>
              <w:rPr>
                <w:rFonts w:ascii="Times New Roman" w:hAnsi="Times New Roman"/>
                <w:sz w:val="24"/>
              </w:rPr>
              <w:t>neamhtharraingthe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hionstraime fiachais. I gcás ina sáraíonn na </w:t>
            </w:r>
            <w:proofErr w:type="spellStart"/>
            <w:r>
              <w:rPr>
                <w:rFonts w:ascii="Times New Roman" w:hAnsi="Times New Roman"/>
                <w:sz w:val="24"/>
              </w:rPr>
              <w:t>comhchaillteanais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chreidmheasa ionchasacha le haghaidh na hionstraime airgeadais sin an tsuim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chomhlán de </w:t>
            </w:r>
            <w:proofErr w:type="spellStart"/>
            <w:r>
              <w:rPr>
                <w:rFonts w:ascii="Times New Roman" w:hAnsi="Times New Roman"/>
                <w:sz w:val="24"/>
              </w:rPr>
              <w:t>chomhpháirt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iasachta na hionstraime, tuairisceofar iarmhéid na gcaillteanas creidmheasa ionchasach a bheidh fágtha mar fhoráil i gcolún 0250.</w:t>
            </w:r>
          </w:p>
          <w:p w14:paraId="041ACC9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5A83ECAE" w14:textId="77777777" w:rsidTr="00E07FE9">
        <w:tc>
          <w:tcPr>
            <w:tcW w:w="1188" w:type="dxa"/>
          </w:tcPr>
          <w:p w14:paraId="43368966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8640" w:type="dxa"/>
          </w:tcPr>
          <w:p w14:paraId="1E41EC8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Athruithe diúltacha carntha sa luach cóir mar gheall ar riosca creidmheasa </w:t>
            </w:r>
          </w:p>
          <w:p w14:paraId="621C45D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71B055E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dtaca le hítimí lasmuigh den chlár comhardaithe a thomhaistear ar luach cóir trí bhrabús nó caillteanas faoi IFRS 9, athruithe diúltacha carntha sa luach cóir mar gheall ar riosca creidmheasa (mír 110 de Chuid 2 d’Iarscríbhinn V a ghabhann leis an Rialachán Cur Chun Feidhme seo)</w:t>
            </w:r>
          </w:p>
          <w:p w14:paraId="14DC17A6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 </w:t>
            </w:r>
          </w:p>
        </w:tc>
      </w:tr>
      <w:tr w:rsidR="00BD16F2" w:rsidRPr="002A677E" w14:paraId="4127DE12" w14:textId="77777777" w:rsidTr="00E07FE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C3F4" w14:textId="77777777" w:rsidR="00BD16F2" w:rsidRPr="002A677E" w:rsidDel="008D1680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0270-280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91AF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Mír mheabhráin: díorthaigh chreidmheasa arna ndíol ar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rialtais ghinearálta</w:t>
            </w:r>
          </w:p>
          <w:p w14:paraId="7FCC5FD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5E8529A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Maidir le díorthaigh chreidmheasa nach gcomhlíonann an sainmhíniú ar ráthaíochtaí airgeadais in Iarscríbhinn V, Cuid 2, mír 58 atá frithgheallta ag an institiúid tuairiscithe le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seachas Rialtais ghinearálta agus ar Rialtas ginearálta é a neamhchosaint tagartha, tuairisceofar na díorthaigh sin.</w:t>
            </w:r>
          </w:p>
          <w:p w14:paraId="359B92D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2C5DB55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Ní </w:t>
            </w:r>
            <w:proofErr w:type="spellStart"/>
            <w:r>
              <w:rPr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colúin sin le haghaidh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mhiondealaítear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réir riosca, cur chuige rialála agus aicme neamhchosanta (rónna 0020 go 0160).</w:t>
            </w:r>
          </w:p>
          <w:p w14:paraId="2201FBD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7CC37A20" w14:textId="77777777" w:rsidTr="00E07FE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F2664" w14:textId="77777777" w:rsidR="00BD16F2" w:rsidRPr="002A677E" w:rsidDel="008D1680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0999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Díorthaigh a bhfuil luach cóir deimhneach acu – Suim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ghlanluacha</w:t>
            </w:r>
            <w:proofErr w:type="spellEnd"/>
          </w:p>
          <w:p w14:paraId="2A41898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2F45DF2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chomhiomlánaithe na ndíorthach creidmheasa a dhíoltar 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rialtais ghinearálta a thuairiscítear agus ag a bhfuil luach cóir deimhneach le haghaidh na hinstitiúide ar an dáta tuairiscithe tagartha, gan coigeartuithe luachála stuama a bhreithniú.</w:t>
            </w:r>
          </w:p>
          <w:p w14:paraId="268DBBB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26676DA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dtaca le díorthaigh faoi IFRS, is é an méid a bheidh le tuairisciú sa cholún seo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ndíorthach ar sócmhainní airgeadais iad ar an dáta tuairiscithe.</w:t>
            </w:r>
          </w:p>
          <w:p w14:paraId="68E6FB3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0040020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dtaca le díorthaigh faoi GAAP bunaithe ar Threoir 86/635/CEE ón gComhairle, is é luach cóir na ndíorthach ag a bhfuil luach cóir deimhneach ar an dáta tuairiscithe tagartha </w:t>
            </w:r>
            <w:r>
              <w:rPr>
                <w:rFonts w:ascii="Times New Roman" w:hAnsi="Times New Roman"/>
                <w:sz w:val="24"/>
              </w:rPr>
              <w:lastRenderedPageBreak/>
              <w:t>a bheidh i gceist leis an méid a bheidh le tuairisciú sa cholún seo, go neamhspleách ar an mbealach a dtugtar cuntas orthu.</w:t>
            </w:r>
          </w:p>
          <w:p w14:paraId="329AEEA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24EE2BDC" w14:textId="77777777" w:rsidTr="00E07FE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121F2" w14:textId="77777777" w:rsidR="00BD16F2" w:rsidRPr="002A677E" w:rsidDel="008D1680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0280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38B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Díorthaigh a bhfuil luach cóir diúltach acu – Suim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ghlanluacha</w:t>
            </w:r>
            <w:proofErr w:type="spellEnd"/>
          </w:p>
          <w:p w14:paraId="57BCFC2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08215F8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chomhiomlánaithe na ndíorthach creidmheasa a dhíoltar 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rialtais ghinearálta a thuairiscítear agus ag a bhfuil luach cóir diúltach le haghaidh na hinstitiúide ar an dáta tuairiscithe tagartha, gan coigeartuithe luachála stuama a bhreithniú.</w:t>
            </w:r>
          </w:p>
          <w:p w14:paraId="035B445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F5AA11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dtaca le díorthaigh faoi IFRS, is é an méid a bheidh le tuairisciú sa cholún seo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ndíorthach ar dliteanais airgeadais iad ar an dáta tuairiscithe. </w:t>
            </w:r>
          </w:p>
          <w:p w14:paraId="32E1D7A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D19F5C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 dtaca le díorthaigh faoi GAAP bunaithe ar Threoir 86/635/CEE ón gComhairle, is é luach cóir na ndíorthach ag a bhfuil luach cóir diúltach ar an dáta tuairiscithe tagartha a bheidh i gceist leis an méid a bheidh le tuairisciú sa cholún seo, go neamhspleách ar an mbealach a dtugtar cuntas orthu.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  <w:p w14:paraId="07F6DFA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65CC9729" w14:textId="77777777" w:rsidTr="00E07FE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60E0" w14:textId="77777777" w:rsidR="00BD16F2" w:rsidRPr="002A677E" w:rsidDel="008D1680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255E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Luach na neamhchosanta</w:t>
            </w:r>
          </w:p>
          <w:p w14:paraId="39175C2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50375C6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Luach neamhchosanta le haghaidh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atá faoi réir an chreata riosca creidmheasa.</w:t>
            </w:r>
          </w:p>
          <w:p w14:paraId="76E178A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2DF255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Le haghaidh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faoin gCur Chuige Caighdeánaithe (SA): féach Airteagal 111 de Rialachán (AE) Uimh. 575/2013. Le haghaidh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faoin gCur Chuige IRB: féach Airteagal 166 agus an dara habairt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> 230(1) de Rialachán (AE) Uimh. 575/2013.</w:t>
            </w:r>
          </w:p>
          <w:p w14:paraId="05A95AB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D09267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Chun díorthaigh a thuairisciú atá faoi réir riosca creidmheasa an </w:t>
            </w:r>
            <w:proofErr w:type="spellStart"/>
            <w:r>
              <w:rPr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aon le muirir chaipitil um riosca margaidh, féach na treoracha maidir leis an miondealú ró.</w:t>
            </w:r>
          </w:p>
          <w:p w14:paraId="7314BDB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DBE778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Níl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thuairiscítear i gcolúin 0270 agus 0280 le breithniú chun críocha an cholúin seo, toisc go bhfuil an luach sa cholún seo bunaithe 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díreacha agus orthu sin amháin. </w:t>
            </w:r>
          </w:p>
          <w:p w14:paraId="0EFB9D4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01A4C273" w14:textId="77777777" w:rsidTr="00E07FE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FE3D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4E18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Méid neamhchosanta atá ualaithe ó thaobh riosca </w:t>
            </w:r>
          </w:p>
          <w:p w14:paraId="472C24C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038C878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Méid neamhchosanta atá ualaithe ó thaobh riosca le haghaidh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atá faoi réir an chreata riosca creidmheasa. </w:t>
            </w:r>
          </w:p>
          <w:p w14:paraId="4137B1E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0B030A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Le haghaidh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faoin gCur Chuige Caighdeánaithe (SA): féach Airteagal 113, míreanna 1 go 5 de Rialachán (AE) Uimh. 575/2013. Le haghaidh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faoin gCur Chuige IRB: féach Airteagal 153, míreanna 1 agus 3 de Rialachán (AE) Uimh. 575/2013.</w:t>
            </w:r>
          </w:p>
          <w:p w14:paraId="524637D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AD8815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Chun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díreacha a thuairisciú laistigh de raon feidhme Airteagal 271 de Rialachán (AE) Uimh. 575/2013 faoi réir ceanglais cistí dílse maidir le riosca creidmheasa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riosca margaidh araon, féach na treoracha maidir leis an miondealú ró.</w:t>
            </w:r>
          </w:p>
          <w:p w14:paraId="0EE74286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8EFC6A6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Ní </w:t>
            </w:r>
            <w:proofErr w:type="spellStart"/>
            <w:r>
              <w:rPr>
                <w:rFonts w:ascii="Times New Roman" w:hAnsi="Times New Roman"/>
                <w:sz w:val="24"/>
              </w:rPr>
              <w:t>bhreithneofar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thuairiscítear i gcolúin 0270 agus 0280 chun críocha an cholúin seo, toisc go bhfuil an luach sa cholún seo bunaithe 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díreacha agus orthu sin amháin. </w:t>
            </w:r>
          </w:p>
        </w:tc>
      </w:tr>
    </w:tbl>
    <w:p w14:paraId="28C457B9" w14:textId="77777777" w:rsidR="00BD16F2" w:rsidRPr="002A677E" w:rsidRDefault="00BD16F2" w:rsidP="00BD16F2">
      <w:pPr>
        <w:spacing w:before="0" w:after="0"/>
        <w:ind w:left="33"/>
        <w:rPr>
          <w:rFonts w:ascii="Times New Roman" w:hAnsi="Times New Roman"/>
          <w:bCs/>
          <w:sz w:val="24"/>
          <w:lang w:eastAsia="de-D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701"/>
      </w:tblGrid>
      <w:tr w:rsidR="00BD16F2" w:rsidRPr="002A677E" w14:paraId="5EC8FE92" w14:textId="77777777" w:rsidTr="00E07FE9">
        <w:tc>
          <w:tcPr>
            <w:tcW w:w="1188" w:type="dxa"/>
            <w:shd w:val="clear" w:color="auto" w:fill="CCCCCC"/>
          </w:tcPr>
          <w:p w14:paraId="0F66128D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Rónna</w:t>
            </w:r>
          </w:p>
        </w:tc>
        <w:tc>
          <w:tcPr>
            <w:tcW w:w="8701" w:type="dxa"/>
            <w:shd w:val="clear" w:color="auto" w:fill="CCCCCC"/>
          </w:tcPr>
          <w:p w14:paraId="59E26EF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Treoracha</w:t>
            </w:r>
          </w:p>
        </w:tc>
      </w:tr>
      <w:tr w:rsidR="00BD16F2" w:rsidRPr="002A677E" w14:paraId="78A169A5" w14:textId="77777777" w:rsidTr="00E07FE9">
        <w:tc>
          <w:tcPr>
            <w:tcW w:w="9889" w:type="dxa"/>
            <w:gridSpan w:val="2"/>
          </w:tcPr>
          <w:p w14:paraId="5FDB059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MIONDEALÚ AR NEAMHCHOSAINTÍ DE RÉIR CUR CHUIGE RIALÁLA</w:t>
            </w:r>
          </w:p>
          <w:p w14:paraId="7072A14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123D6E82" w14:textId="77777777" w:rsidTr="00E07FE9">
        <w:tc>
          <w:tcPr>
            <w:tcW w:w="1188" w:type="dxa"/>
            <w:shd w:val="clear" w:color="auto" w:fill="auto"/>
          </w:tcPr>
          <w:p w14:paraId="635EC4C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701" w:type="dxa"/>
            <w:shd w:val="clear" w:color="auto" w:fill="auto"/>
          </w:tcPr>
          <w:p w14:paraId="45AF8DB6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iomlána</w:t>
            </w:r>
          </w:p>
          <w:p w14:paraId="7ADC584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7233A1D6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Comhiomlán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ghinearálta, mar a shainmhínítear i míreanna 191 go 196 den Iarscríbhinn seo.</w:t>
            </w:r>
          </w:p>
          <w:p w14:paraId="41D48D4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5468D2EA" w14:textId="77777777" w:rsidTr="00E07FE9">
        <w:tc>
          <w:tcPr>
            <w:tcW w:w="1188" w:type="dxa"/>
          </w:tcPr>
          <w:p w14:paraId="59C5392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0020-0155</w:t>
            </w:r>
          </w:p>
        </w:tc>
        <w:tc>
          <w:tcPr>
            <w:tcW w:w="8701" w:type="dxa"/>
          </w:tcPr>
          <w:p w14:paraId="7E2E9BC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faoin gcreat riosca creidmheasa</w:t>
            </w:r>
          </w:p>
          <w:p w14:paraId="5D1A2E5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0711A9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Comhiomlán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 dhéanfar a ualú ó thaobh riosca i gcomhréir le Cuid a Trí, Teideal II de Rialachán (AE) Uimh. 575/2013. Áirítear 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faoin gcreat riosca creidmheasa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ón leabhar </w:t>
            </w:r>
            <w:proofErr w:type="spellStart"/>
            <w:r>
              <w:rPr>
                <w:rFonts w:ascii="Times New Roman" w:hAnsi="Times New Roman"/>
                <w:sz w:val="24"/>
              </w:rPr>
              <w:t>neamhthrádála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ón leabhar trádála araon faoi réir muirear caipitil i dtaca le riosca creidmheasa an </w:t>
            </w:r>
            <w:proofErr w:type="spellStart"/>
            <w:r>
              <w:rPr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1E171D2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7C54CE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Maidir 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díreacha faoi raon feidhme Airteagal 271 de Rialachán (AE) Uimh. 575/2013 faoi réir ceanglais cistí dílse i dtaca le riosca creidmheasa an </w:t>
            </w:r>
            <w:proofErr w:type="spellStart"/>
            <w:r>
              <w:rPr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riosca margaidh araon, tuairisceofar iad sna rónna maidir le riosca creidmheasa (0020 go 0155) agus sa ró maidir le riosca margaidh (ró 0160): maidir leis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gheall ar riosca creidmheasa an </w:t>
            </w:r>
            <w:proofErr w:type="spellStart"/>
            <w:r>
              <w:rPr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tuairisceofar iad sna rónna maidir le riosca creidmheasa, agus tuairisceofar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gheall ar riosca margaidh sa ró maidir le riosca margaidh.</w:t>
            </w:r>
          </w:p>
          <w:p w14:paraId="6723686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53F4D72F" w14:textId="77777777" w:rsidTr="00E07FE9">
        <w:tc>
          <w:tcPr>
            <w:tcW w:w="1188" w:type="dxa"/>
          </w:tcPr>
          <w:p w14:paraId="54704E3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701" w:type="dxa"/>
          </w:tcPr>
          <w:p w14:paraId="7376AEA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Cur Chuige Caighdeánaithe</w:t>
            </w:r>
          </w:p>
          <w:p w14:paraId="2B17793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E910094" w14:textId="6C9E1FB4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a ndéanfar ualú riosca i gcomhréir le Cuid a Trí, Teideal II, Caibidil 2 de Rialachán (AE) Uimh. 575/2013, lena </w:t>
            </w:r>
            <w:r w:rsidR="00A1751F">
              <w:rPr>
                <w:rFonts w:ascii="Times New Roman" w:hAnsi="Times New Roman"/>
                <w:sz w:val="24"/>
              </w:rPr>
              <w:t>n</w:t>
            </w:r>
            <w:r w:rsidR="00A1751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áirítear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ón leabhar </w:t>
            </w:r>
            <w:proofErr w:type="spellStart"/>
            <w:r>
              <w:rPr>
                <w:rFonts w:ascii="Times New Roman" w:hAnsi="Times New Roman"/>
                <w:sz w:val="24"/>
              </w:rPr>
              <w:t>neamhthrádála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ina gcuirtear riosca creidmheasa an </w:t>
            </w:r>
            <w:proofErr w:type="spellStart"/>
            <w:r>
              <w:rPr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san áireamh san ualú riosca i gcomhréir leis an gCaibidil sin.</w:t>
            </w:r>
          </w:p>
          <w:p w14:paraId="5BCFF4F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42D2A5D" w14:textId="77777777" w:rsidTr="00E07FE9">
        <w:tc>
          <w:tcPr>
            <w:tcW w:w="1188" w:type="dxa"/>
          </w:tcPr>
          <w:p w14:paraId="72EFF5C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701" w:type="dxa"/>
          </w:tcPr>
          <w:p w14:paraId="7AB5772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Rialtais láir</w:t>
            </w:r>
          </w:p>
          <w:p w14:paraId="1EA8667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D6E9FB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rialtais láir iad. Leithdháiltear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 ar an aicme neamhchosanta ‘Rialtais láir nó bainc cheannais’ i gcomhréir le hAirteagail 112 agus 114 de Rialachán (AE) Uimh. 575/2013, mar a sonraíodh sna treoracha le haghaidh theimpléad C 07.00, cé is moite de na sonraíochtaí a mhéid a bhaineann leis an athdháileadh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aicmí eile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thoradh cur i bhfeidhm teicnící um maolú riosca creidmheasa a bhfuil iarmhairtí ar ionadú ag gabhail leo maidir leis an neamhchosaint, nach mbeidh feidhm acu.</w:t>
            </w:r>
          </w:p>
          <w:p w14:paraId="57F319A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61B3D5FC" w14:textId="77777777" w:rsidTr="00E07FE9">
        <w:tc>
          <w:tcPr>
            <w:tcW w:w="1188" w:type="dxa"/>
          </w:tcPr>
          <w:p w14:paraId="73BEF8D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701" w:type="dxa"/>
          </w:tcPr>
          <w:p w14:paraId="005C4B4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Rialtais réigiúnacha nó údaráis áitiúla</w:t>
            </w:r>
          </w:p>
          <w:p w14:paraId="6FBFFB0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30DB2B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rialtais réigiúnacha nó údaráis áitiúla iad. Leithdháiltear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 ar an aicme neamhchosanta ‘Rialtais réigiúnacha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nó údaráis áitiúla’ i gcomhréir le hAirteagail 112 agus 115 de Rialachán (AE) Uimh. 575/2013, mar a shonraítear sna treoracha le haghaidh theimpléad C 07.00, cé is moite de na sonraíochtaí a mhéid a bhaineann leis an athdháileadh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aicmí eile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thoradh cur i bhfeidhm teicnící um maolú riosca creidmheasa a bhfuil iarmhairtí ar ionadú ag gabhail leo maidir leis an neamhchosaint, nach mbeidh feidhm acu.</w:t>
            </w:r>
          </w:p>
          <w:p w14:paraId="2F8D7AF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EDA648E" w14:textId="77777777" w:rsidTr="00E07FE9">
        <w:tc>
          <w:tcPr>
            <w:tcW w:w="1188" w:type="dxa"/>
          </w:tcPr>
          <w:p w14:paraId="4B25067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8701" w:type="dxa"/>
          </w:tcPr>
          <w:p w14:paraId="66765FA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Eintitis earnála poiblí</w:t>
            </w:r>
          </w:p>
          <w:p w14:paraId="66410BC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86E616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eintitis san earnáil phoiblí iad. Leithdháiltear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 ar an aicme neamhchosanta ‘Eintitis san earnáil phoiblí’ i gcomhréir le hAirteagail 112 agus 116 de Rialachán (AE) Uimh. 575/2013, mar a shonraítear sna treoracha le haghaidh theimpléad C 07.00, cé is moite de na sonraíochtaí a mhéid a bhaineann leis an athdháileadh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aicmí eile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thoradh cur i bhfeidhm teicnící um maolú riosca creidmheasa a bhfuil iarmhairtí ar ionadú ag gabhail leo maidir leis an neamhchosaint, nach mbeidh feidhm acu.</w:t>
            </w:r>
          </w:p>
          <w:p w14:paraId="6D9CAE5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5BEA94BC" w14:textId="77777777" w:rsidTr="00E07FE9">
        <w:tc>
          <w:tcPr>
            <w:tcW w:w="1188" w:type="dxa"/>
          </w:tcPr>
          <w:p w14:paraId="0B5060C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701" w:type="dxa"/>
          </w:tcPr>
          <w:p w14:paraId="259C4BF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Eagraíochtaí Idirnáisiúnta</w:t>
            </w:r>
          </w:p>
          <w:p w14:paraId="781B0EA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10D36C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eagraíochtaí idirnáisiúnta iad. Leithdháiltear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 ar na haicmí neamhchosanta ‘Eagraíochtaí Idirnáisiúnta’ i gcomhréir le hAirteagail 112 agus 118 de Rialachán (AE) Uimh. 575/2013, mar a shonraítear sna treoracha le haghaidh theimpléad C 07.00, cé is moite de na sonraíochtaí a mhéid a bhaineann leis an athdháileadh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aicmí eile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thoradh cur i bhfeidhm teicnící um maolú riosca creidmheasa a bhfuil iarmhairtí ar ionadú ag gabhail leo maidir leis an neamhchosaint, nach mbeidh feidhm acu.</w:t>
            </w:r>
          </w:p>
          <w:p w14:paraId="32FAD5D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0865678B" w14:textId="77777777" w:rsidTr="00E07FE9">
        <w:tc>
          <w:tcPr>
            <w:tcW w:w="1188" w:type="dxa"/>
          </w:tcPr>
          <w:p w14:paraId="5158E54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0075</w:t>
            </w:r>
          </w:p>
        </w:tc>
        <w:tc>
          <w:tcPr>
            <w:tcW w:w="8701" w:type="dxa"/>
          </w:tcPr>
          <w:p w14:paraId="5A60039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eile rialtais ghinearálta faoi réir an Chur Chuige Chaighdeánaithe</w:t>
            </w:r>
          </w:p>
          <w:p w14:paraId="3075D5C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396EFB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seachas iad siúd a chuirtear san áireamh i rónna 0040 go 0070 thuas, a leithdháiltear ar aicmí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SA i gcomhréir le hAirteagal 112 de Rialachán (AE) Uimh. 575/2013 chun ceanglais cistí dílse a ríomh.</w:t>
            </w:r>
          </w:p>
          <w:p w14:paraId="4075F5D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1B53F043" w14:textId="77777777" w:rsidTr="00E07FE9">
        <w:tc>
          <w:tcPr>
            <w:tcW w:w="1188" w:type="dxa"/>
          </w:tcPr>
          <w:p w14:paraId="3541ED9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701" w:type="dxa"/>
          </w:tcPr>
          <w:p w14:paraId="3D44157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Cur chuige IRB</w:t>
            </w:r>
          </w:p>
          <w:p w14:paraId="77F75F3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80DF3DD" w14:textId="0BD6B9EB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a ndéanfar ualú riosca i gcomhréir le Cuid a Trí, Teideal II, Caibidil 3 de Rialachán (AE) Uimh. 575/2013, lena </w:t>
            </w:r>
            <w:r w:rsidR="00A1751F">
              <w:rPr>
                <w:rFonts w:ascii="Times New Roman" w:hAnsi="Times New Roman"/>
                <w:sz w:val="24"/>
              </w:rPr>
              <w:t>n</w:t>
            </w:r>
            <w:r w:rsidR="00A1751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áirítear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ón leabhar </w:t>
            </w:r>
            <w:proofErr w:type="spellStart"/>
            <w:r>
              <w:rPr>
                <w:rFonts w:ascii="Times New Roman" w:hAnsi="Times New Roman"/>
                <w:sz w:val="24"/>
              </w:rPr>
              <w:t>neamhthrádála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ina gcuirtear riosca creidmheasa an </w:t>
            </w:r>
            <w:proofErr w:type="spellStart"/>
            <w:r>
              <w:rPr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san áireamh san ualú riosca i gcomhréir leis an gCaibidil sin.</w:t>
            </w:r>
          </w:p>
          <w:p w14:paraId="7A51486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181223B8" w14:textId="77777777" w:rsidTr="00E07FE9">
        <w:tc>
          <w:tcPr>
            <w:tcW w:w="1188" w:type="dxa"/>
          </w:tcPr>
          <w:p w14:paraId="7E350796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701" w:type="dxa"/>
          </w:tcPr>
          <w:p w14:paraId="5371101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Rialtais láir</w:t>
            </w:r>
          </w:p>
          <w:p w14:paraId="3383DD8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4D5AE2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ghinearálta, ar rialtais láir iad, agus a leithdháiltear ar an aicme neamhchosanta ‘Rialtais láir agus bainc cheannais’ i gcomhréir le hAirteagail 147(3), pointe (a), de Rialachán (AE) Uimh. 575/2013, mar a shonraítear sna treoracha le haghaidh theimpléad C 08.01 agus C 08.02, cé is moite de na sonraíochtaí a mhéid a bhaineann leis an athdháileadh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aicmí eile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thoradh cur i bhfeidhm teicnící um maolú riosca creidmheasa a </w:t>
            </w:r>
            <w:r>
              <w:rPr>
                <w:rFonts w:ascii="Times New Roman" w:hAnsi="Times New Roman"/>
                <w:sz w:val="24"/>
              </w:rPr>
              <w:lastRenderedPageBreak/>
              <w:t>bhfuil iarmhairtí ar ionadú ag gabhail leo maidir leis an neamhchosaint, nach mbeidh feidhm acu.</w:t>
            </w:r>
          </w:p>
          <w:p w14:paraId="7487C80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0EAF83A7" w14:textId="77777777" w:rsidTr="00E07FE9">
        <w:tc>
          <w:tcPr>
            <w:tcW w:w="1188" w:type="dxa"/>
          </w:tcPr>
          <w:p w14:paraId="0AF0F58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0100</w:t>
            </w:r>
          </w:p>
        </w:tc>
        <w:tc>
          <w:tcPr>
            <w:tcW w:w="8701" w:type="dxa"/>
          </w:tcPr>
          <w:p w14:paraId="590811E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Rialtais réigiúnacha nó údaráis áitiúla [Rialtais láir agus bainc cheannais]</w:t>
            </w:r>
          </w:p>
          <w:p w14:paraId="25A3F7A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E5FA91E" w14:textId="0BE4C425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ghinearálta, ar rialtais réigiúnacha nó údaráis áitiúla iad, agus a leithdháiltear ar an aicme neamhchosanta ‘Rialtais láir agus bainc cheannais’ i gcomhréir le hAirteagal 147(3a), de Rialachán (AE) Uimh. 575/2013, mar a shonraítear sna treoracha le haghaidh theimpléad C 08.01 agus C 08.02, cé is moite de na sonraíochtaí a mhéid a bhaineann leis an athdháileadh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aicmí eile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thoradh cur i bhfeidhm teicnící um maolú riosca creidmheasa a bhfuil iarmhairtí ar ionadú ag gabhail leo maidir leis an neamhchosaint, nach mbeidh feidhm acu.</w:t>
            </w:r>
          </w:p>
          <w:p w14:paraId="56E79E4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7C485D34" w14:textId="77777777" w:rsidTr="00E07FE9">
        <w:tc>
          <w:tcPr>
            <w:tcW w:w="1188" w:type="dxa"/>
          </w:tcPr>
          <w:p w14:paraId="7E5A553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701" w:type="dxa"/>
          </w:tcPr>
          <w:p w14:paraId="6A830321" w14:textId="624574DD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Rialtais réigiúnacha nó údaráis áitiúla </w:t>
            </w:r>
          </w:p>
          <w:p w14:paraId="3F1BEA0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2CEDA446" w14:textId="74C7D39C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nó ar údaráis áitiúla a leithdháiltear ar aicme neamhchosanta an ‘Rialtais láir nó na </w:t>
            </w:r>
            <w:r w:rsidR="00A1751F">
              <w:rPr>
                <w:rFonts w:ascii="Times New Roman" w:hAnsi="Times New Roman"/>
                <w:sz w:val="24"/>
              </w:rPr>
              <w:t>n</w:t>
            </w:r>
            <w:r w:rsidR="00A1751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údarás áitiúil’ i gcomhréir le hAirteagal 147(2), pointe (a1) (i), de Rialachán (AE) Uimh. 575/2013, mar a shonraítear sna treoracha le haghaidh theimpléad C 08.01 agus C 08.02, cé is moite de na sonraíochtaí a mhéid a bhaineann leis an athdháileadh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aicmí eile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thoradh cur i bhfeidhm teicnící um maolú riosca creidmheasa a bhfuil iarmhairtí ar ionadú ag gabhail leo maidir leis an neamhchosaint, nach mbeidh feidhm acu.</w:t>
            </w:r>
          </w:p>
          <w:p w14:paraId="33C3DED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0A29152B" w14:textId="77777777" w:rsidTr="00E07FE9">
        <w:tc>
          <w:tcPr>
            <w:tcW w:w="1188" w:type="dxa"/>
          </w:tcPr>
          <w:p w14:paraId="7F2C8D3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701" w:type="dxa"/>
          </w:tcPr>
          <w:p w14:paraId="6B31BA5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Eintitis san earnáil phoiblí [Rialtais láir agus bainc cheannais]</w:t>
            </w:r>
          </w:p>
          <w:p w14:paraId="6DC75DB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4635741" w14:textId="2A2CB536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arb eintitis san earnáil phoiblí iad i gcomhréir le hAirteagal 4(8) de Rialachán (AE) Uimh. 575/2013 agus a leithdháiltear ar an aicme neamhchosanta ‘Rialtais láir nó bainc cheannais’ i gcomhréir le hAirteagal 147(3a) den Rialachán sin, mar a shonraítear sna treoracha le haghaidh theimpléad C 08.01 agus C 08.02, cé is moite de na sonraíochtaí a mhéid a bhaineann leis an athdháileadh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aicmí eile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thoradh cur i bhfeidhm teicnící um maolú riosca creidmheasa a bhfuil iarmhairtí ar ionadú ag gabhail leo maidir leis an neamhchosaint, nach mbeidh feidhm acu.</w:t>
            </w:r>
          </w:p>
          <w:p w14:paraId="4217126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3E3401D5" w14:textId="77777777" w:rsidTr="00E07FE9">
        <w:tc>
          <w:tcPr>
            <w:tcW w:w="1188" w:type="dxa"/>
          </w:tcPr>
          <w:p w14:paraId="651DC4B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701" w:type="dxa"/>
          </w:tcPr>
          <w:p w14:paraId="4211C115" w14:textId="1030AFC3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Eintitis earnála poiblí </w:t>
            </w:r>
          </w:p>
          <w:p w14:paraId="3E29197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9C2FE70" w14:textId="0264C9F0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eintitis san earnáil phoiblí i gcomhréir le hAirteagal 4(8) de Rialachán (AE) Uimh. 575/2013 agus a leithdháiltear ar an aicme neamhchosanta ‘Eintitis san </w:t>
            </w:r>
            <w:proofErr w:type="spellStart"/>
            <w:r>
              <w:rPr>
                <w:rFonts w:ascii="Times New Roman" w:hAnsi="Times New Roman"/>
                <w:sz w:val="24"/>
              </w:rPr>
              <w:t>earnail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phoiblí’ i gcomhréir le hAirteagal 147(4), pointe (a1) 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), den Rialachán sin, mar a shonraítear sna treoracha le haghaidh theimpléad C 08.01 agus C 08.02, cé is moite de na sonraíochtaí a mhéid a bhaineann leis an athdháileadh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aicmí eile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thoradh cur i bhfeidhm teicnící um maolú riosca creidmheasa a bhfuil iarmhairtí ar ionadú ag gabhail leo maidir leis an neamhchosaint, nach mbeidh feidhm acu.</w:t>
            </w:r>
          </w:p>
          <w:p w14:paraId="58A7F37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88128A9" w14:textId="77777777" w:rsidTr="00E07FE9">
        <w:tc>
          <w:tcPr>
            <w:tcW w:w="1188" w:type="dxa"/>
          </w:tcPr>
          <w:p w14:paraId="6C372DE8" w14:textId="77777777" w:rsidR="00BD16F2" w:rsidRPr="002A677E" w:rsidDel="00C211CB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701" w:type="dxa"/>
          </w:tcPr>
          <w:p w14:paraId="1BE8FBD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Eagraíochtaí idirnáisiúnta [Rialtais láir agus bainc cheannais]</w:t>
            </w:r>
          </w:p>
          <w:p w14:paraId="541249E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CAB461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arb Eagraíochtaí Idirnáisiúnta iad agus a leithdháiltear ar an aicme neamhchosanta ‘Rialtais láir agus bainc cheannais’ i gcomhréir le hAirteagal 147(3), pointe (c), de Rialachán (AE) Uimh. 575/2013, mar a shonraítear sna treoracha le haghaidh theimpléad C 08.01 agus C 08.02, cé is moite de na sonraíochtaí a mhéid a bhaineann leis an athdháileadh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ar aicmí eile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thoradh cur i bhfeidhm teicnící um maolú riosca creidmheasa a bhfuil iarmhairtí ar ionadú ag gabhail leo maidir leis an neamhchosaint, nach mbeidh feidhm acu.</w:t>
            </w:r>
          </w:p>
          <w:p w14:paraId="31ABD7C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4923F409" w14:textId="77777777" w:rsidTr="00E07FE9">
        <w:tc>
          <w:tcPr>
            <w:tcW w:w="1188" w:type="dxa"/>
          </w:tcPr>
          <w:p w14:paraId="7E01A68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0155</w:t>
            </w:r>
          </w:p>
        </w:tc>
        <w:tc>
          <w:tcPr>
            <w:tcW w:w="8701" w:type="dxa"/>
          </w:tcPr>
          <w:p w14:paraId="205F29D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eile ar rialtais ghinearálta atá faoi réir Chur Chuige IRB</w:t>
            </w:r>
          </w:p>
          <w:p w14:paraId="7DD4128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BD8FDC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seachas iad siúd a chuirtear san áireamh i rónna 0090 go 0140 thuas agus a leithdháiltear ar aicmí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IRB i gcomhréir le hAirteagal 147 de Rialachán (AE) Uimh. 575/2013 chun ceanglais cistí dílse a ríomh.</w:t>
            </w:r>
          </w:p>
          <w:p w14:paraId="5E8C584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131E9AE8" w14:textId="77777777" w:rsidTr="00E07FE9">
        <w:tc>
          <w:tcPr>
            <w:tcW w:w="1188" w:type="dxa"/>
          </w:tcPr>
          <w:p w14:paraId="0355DF5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701" w:type="dxa"/>
          </w:tcPr>
          <w:p w14:paraId="1066509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atá faoi réir riosca margaidh</w:t>
            </w:r>
          </w:p>
          <w:p w14:paraId="402F9DD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DC6C57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Cumhdaítear suíomhanna leis an ró seo a ríomhtar ceann amháin de na ceanglais cistí dílse seo a leanas de Chuid a Trí, Teideal IV de Rialachán (AE) Uimh. 575/2013 ina leith:</w:t>
            </w:r>
          </w:p>
          <w:p w14:paraId="4D91BB25" w14:textId="77777777" w:rsidR="00BD16F2" w:rsidRPr="002A677E" w:rsidRDefault="00BD16F2" w:rsidP="00BD16F2">
            <w:pPr>
              <w:pStyle w:val="ListParagraph"/>
              <w:numPr>
                <w:ilvl w:val="0"/>
                <w:numId w:val="19"/>
              </w:numPr>
              <w:contextualSpacing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Ceanglais cistí dílse i dtaca le riosca an tsuímh i gcomhréir le hAirteagal 326 de Rialachán (AE) Uimh. 575/2013</w:t>
            </w:r>
          </w:p>
          <w:p w14:paraId="6AC569B5" w14:textId="6FA3AEB0" w:rsidR="00BD16F2" w:rsidRPr="000059B8" w:rsidRDefault="00BD16F2" w:rsidP="00BD16F2">
            <w:pPr>
              <w:pStyle w:val="ListParagraph"/>
              <w:numPr>
                <w:ilvl w:val="0"/>
                <w:numId w:val="19"/>
              </w:numPr>
              <w:contextualSpacing w:val="0"/>
            </w:pPr>
            <w:r>
              <w:rPr>
                <w:rFonts w:ascii="Times New Roman" w:hAnsi="Times New Roman"/>
                <w:sz w:val="24"/>
              </w:rPr>
              <w:t>Ceanglais cistí dílse i dtaca le riosca sonrach nó ginearálta i gcomhréir le Cuid a Trí, Teideal IV, Caibidil 5 den Rialachán sin;</w:t>
            </w:r>
          </w:p>
          <w:p w14:paraId="32753AD8" w14:textId="77777777" w:rsidR="00BD16F2" w:rsidRPr="008735B6" w:rsidRDefault="00BD16F2" w:rsidP="00BD16F2">
            <w:pPr>
              <w:pStyle w:val="ListParagraph"/>
              <w:numPr>
                <w:ilvl w:val="0"/>
                <w:numId w:val="19"/>
              </w:numPr>
              <w:contextualSpacing w:val="0"/>
            </w:pPr>
            <w:r>
              <w:rPr>
                <w:rFonts w:ascii="Times New Roman" w:hAnsi="Times New Roman"/>
                <w:sz w:val="24"/>
              </w:rPr>
              <w:t xml:space="preserve">Ceanglais cistí dílse i dtaca le riosca raoin difríochta creidmheasa nó riosca mainneachtana i gcomhréir le Cuid a Trí, Teideal IV, Caibidil 1a den Rialachán sin. </w:t>
            </w:r>
          </w:p>
          <w:p w14:paraId="565F2E22" w14:textId="7F852E65" w:rsidR="00BD16F2" w:rsidRPr="002A677E" w:rsidRDefault="00BD16F2" w:rsidP="00BD16F2">
            <w:pPr>
              <w:pStyle w:val="ListParagraph"/>
              <w:numPr>
                <w:ilvl w:val="0"/>
                <w:numId w:val="19"/>
              </w:numPr>
              <w:contextualSpacing w:val="0"/>
            </w:pPr>
            <w:r>
              <w:rPr>
                <w:rFonts w:ascii="Times New Roman" w:hAnsi="Times New Roman"/>
                <w:sz w:val="24"/>
              </w:rPr>
              <w:t xml:space="preserve">Ceanglais cistí dílse arna ríomh i gcomhréir le Cuid a Trí, Teideal IV, Caibidil 1a den Rialachán sin, i gcás ina ndéanann fachtóirí riosca, a bhaineann le catagóir leathan fachtóra riosca na raonta difríochta creidmheasa, difear don suíomh nó i </w:t>
            </w:r>
            <w:proofErr w:type="spellStart"/>
            <w:r>
              <w:rPr>
                <w:rFonts w:ascii="Times New Roman" w:hAnsi="Times New Roman"/>
                <w:sz w:val="24"/>
              </w:rPr>
              <w:t>gcas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ina </w:t>
            </w:r>
            <w:r w:rsidR="00A1751F">
              <w:rPr>
                <w:rFonts w:ascii="Times New Roman" w:hAnsi="Times New Roman"/>
                <w:sz w:val="24"/>
              </w:rPr>
              <w:t>n</w:t>
            </w:r>
            <w:r w:rsidR="00A1751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é i samhail inmheánach riosca mainneachtana na hinstitiúide.</w:t>
            </w:r>
          </w:p>
          <w:p w14:paraId="1C79BB0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Maidir 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díreacha faoi raon feidhme Airteagal 271 de Rialachán (AE) Uimh. 575/2013 faoi réir ceanglais cistí dílse i dtaca le riosca creidmheasa an </w:t>
            </w:r>
            <w:proofErr w:type="spellStart"/>
            <w:r>
              <w:rPr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riosca margaidh araon, tuairisceofar iad sna rónna maidir le riosca creidmheasa (0020 go 0155) agus sa ró maidir le riosca margaidh (ró 0160): maidir leis an neamhchosaint de thoradh riosca creidmheasa an </w:t>
            </w:r>
            <w:proofErr w:type="spellStart"/>
            <w:r>
              <w:rPr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>, tuairisceofar í sna rónna maidir le riosca creidmheasa, agus tuairisceofar an neamhchosaint de thoradh riosca margaidh sa ró maidir le riosca margaidh.</w:t>
            </w:r>
          </w:p>
          <w:p w14:paraId="0507B10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02CFB1FE" w14:textId="77777777" w:rsidTr="00E07FE9">
        <w:tc>
          <w:tcPr>
            <w:tcW w:w="1188" w:type="dxa"/>
          </w:tcPr>
          <w:p w14:paraId="18296F7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0170-0230</w:t>
            </w:r>
          </w:p>
        </w:tc>
        <w:tc>
          <w:tcPr>
            <w:tcW w:w="8701" w:type="dxa"/>
          </w:tcPr>
          <w:p w14:paraId="08A57F5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MIONDEALÚ AR NEAMHCHOSAINTÍ DE RÉIR AIBÍOCHT IARMHAIR</w:t>
            </w:r>
          </w:p>
          <w:p w14:paraId="50123FE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729ABC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Ríomhfar aibíocht iarmhair i laethanta idir dáta conarthach na haibíochta agus an dáta tuairiscithe tagartha le haghaidh gach suímh.</w:t>
            </w:r>
          </w:p>
          <w:p w14:paraId="44B0A42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795327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Déanfar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Rialtais ghinearálta a mhiondealú de réir aibíocht iarmhair agus </w:t>
            </w:r>
            <w:proofErr w:type="spellStart"/>
            <w:r>
              <w:rPr>
                <w:rFonts w:ascii="Times New Roman" w:hAnsi="Times New Roman"/>
                <w:sz w:val="24"/>
              </w:rPr>
              <w:t>leithdháilfear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iad ar na buicéid dá bhforáiltear mar a leanas:</w:t>
            </w:r>
          </w:p>
          <w:p w14:paraId="41BF07E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8A00E79" w14:textId="77777777" w:rsidR="00BD16F2" w:rsidRPr="002A677E" w:rsidRDefault="00BD16F2" w:rsidP="00E07FE9">
            <w:pPr>
              <w:spacing w:before="0" w:after="0"/>
              <w:ind w:left="808" w:hanging="36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Symbol" w:hAnsi="Symbol"/>
                <w:sz w:val="24"/>
              </w:rPr>
              <w:tab/>
            </w:r>
            <w:r>
              <w:rPr>
                <w:rFonts w:ascii="Times New Roman" w:hAnsi="Times New Roman"/>
                <w:b/>
                <w:sz w:val="24"/>
              </w:rPr>
              <w:t>[ 0 - 3M ]</w:t>
            </w:r>
            <w:r>
              <w:rPr>
                <w:rFonts w:ascii="Times New Roman" w:hAnsi="Times New Roman"/>
                <w:sz w:val="24"/>
              </w:rPr>
              <w:t xml:space="preserve"> : Níos lú ná 90 lá;</w:t>
            </w:r>
          </w:p>
          <w:p w14:paraId="0F583012" w14:textId="77777777" w:rsidR="00BD16F2" w:rsidRPr="002A677E" w:rsidRDefault="00BD16F2" w:rsidP="00E07FE9">
            <w:pPr>
              <w:spacing w:before="0" w:after="0"/>
              <w:ind w:left="808" w:hanging="36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Symbol" w:hAnsi="Symbol"/>
                <w:sz w:val="24"/>
              </w:rPr>
              <w:tab/>
            </w:r>
            <w:r>
              <w:rPr>
                <w:rFonts w:ascii="Times New Roman" w:hAnsi="Times New Roman"/>
                <w:b/>
                <w:sz w:val="24"/>
              </w:rPr>
              <w:t>[ 3M - 1B ]</w:t>
            </w:r>
            <w:r>
              <w:rPr>
                <w:rFonts w:ascii="Times New Roman" w:hAnsi="Times New Roman"/>
                <w:sz w:val="24"/>
              </w:rPr>
              <w:t xml:space="preserve"> : Comhionann le nó níos mó ná 90 lá agus níos lú ná 365 lá;</w:t>
            </w:r>
          </w:p>
          <w:p w14:paraId="4538DC89" w14:textId="77777777" w:rsidR="00BD16F2" w:rsidRPr="002A677E" w:rsidRDefault="00BD16F2" w:rsidP="00E07FE9">
            <w:pPr>
              <w:spacing w:before="0" w:after="0"/>
              <w:ind w:left="808" w:hanging="36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Symbol" w:hAnsi="Symbol"/>
                <w:sz w:val="24"/>
              </w:rPr>
              <w:lastRenderedPageBreak/>
              <w:t></w:t>
            </w:r>
            <w:r>
              <w:rPr>
                <w:rFonts w:ascii="Symbol" w:hAnsi="Symbol"/>
                <w:sz w:val="24"/>
              </w:rPr>
              <w:tab/>
            </w:r>
            <w:r>
              <w:rPr>
                <w:rFonts w:ascii="Times New Roman" w:hAnsi="Times New Roman"/>
                <w:b/>
                <w:sz w:val="24"/>
              </w:rPr>
              <w:t>[ 1B – 2B ]</w:t>
            </w:r>
            <w:r>
              <w:rPr>
                <w:rFonts w:ascii="Times New Roman" w:hAnsi="Times New Roman"/>
                <w:sz w:val="24"/>
              </w:rPr>
              <w:t xml:space="preserve"> : Comhionann le nó níos mó ná 365 lá agus níos lú ná 730 lá;</w:t>
            </w:r>
          </w:p>
          <w:p w14:paraId="31713DE0" w14:textId="77777777" w:rsidR="00BD16F2" w:rsidRPr="002A677E" w:rsidRDefault="00BD16F2" w:rsidP="00E07FE9">
            <w:pPr>
              <w:spacing w:before="0" w:after="0"/>
              <w:ind w:left="808" w:hanging="36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Symbol" w:hAnsi="Symbol"/>
                <w:sz w:val="24"/>
              </w:rPr>
              <w:tab/>
            </w:r>
            <w:r>
              <w:rPr>
                <w:rFonts w:ascii="Times New Roman" w:hAnsi="Times New Roman"/>
                <w:b/>
                <w:sz w:val="24"/>
              </w:rPr>
              <w:t>[ 2B – 3B ]</w:t>
            </w:r>
            <w:r>
              <w:rPr>
                <w:rFonts w:ascii="Times New Roman" w:hAnsi="Times New Roman"/>
                <w:sz w:val="24"/>
              </w:rPr>
              <w:t xml:space="preserve"> : [ 3Y – 5Y [ :</w:t>
            </w:r>
          </w:p>
          <w:p w14:paraId="605F8680" w14:textId="77777777" w:rsidR="00BD16F2" w:rsidRPr="002A677E" w:rsidRDefault="00BD16F2" w:rsidP="00E07FE9">
            <w:pPr>
              <w:spacing w:before="0" w:after="0"/>
              <w:ind w:left="808" w:hanging="36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Symbol" w:hAnsi="Symbol"/>
                <w:sz w:val="24"/>
              </w:rPr>
              <w:tab/>
            </w:r>
            <w:r>
              <w:rPr>
                <w:rFonts w:ascii="Times New Roman" w:hAnsi="Times New Roman"/>
                <w:b/>
                <w:sz w:val="24"/>
              </w:rPr>
              <w:t>[ 3B – 5B ]</w:t>
            </w:r>
            <w:r>
              <w:rPr>
                <w:rFonts w:ascii="Times New Roman" w:hAnsi="Times New Roman"/>
                <w:sz w:val="24"/>
              </w:rPr>
              <w:t xml:space="preserve"> : [ 5Y – 10Y [ :</w:t>
            </w:r>
          </w:p>
          <w:p w14:paraId="4BB7CB52" w14:textId="77777777" w:rsidR="00BD16F2" w:rsidRPr="002A677E" w:rsidRDefault="00BD16F2" w:rsidP="00E07FE9">
            <w:pPr>
              <w:spacing w:before="0" w:after="0"/>
              <w:ind w:left="808" w:hanging="36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Symbol" w:hAnsi="Symbol"/>
                <w:sz w:val="24"/>
              </w:rPr>
              <w:tab/>
            </w:r>
            <w:r>
              <w:rPr>
                <w:rFonts w:ascii="Times New Roman" w:hAnsi="Times New Roman"/>
                <w:b/>
                <w:sz w:val="24"/>
              </w:rPr>
              <w:t>[ 5B – 10B ]</w:t>
            </w:r>
            <w:r>
              <w:rPr>
                <w:rFonts w:ascii="Times New Roman" w:hAnsi="Times New Roman"/>
                <w:sz w:val="24"/>
              </w:rPr>
              <w:t xml:space="preserve"> : [ 10Y – níos mó :</w:t>
            </w:r>
          </w:p>
          <w:p w14:paraId="64FFD510" w14:textId="77777777" w:rsidR="00BD16F2" w:rsidRPr="002A677E" w:rsidRDefault="00BD16F2" w:rsidP="00E07FE9">
            <w:pPr>
              <w:spacing w:before="0" w:after="0"/>
              <w:ind w:left="808" w:hanging="36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Symbol" w:hAnsi="Symbol"/>
                <w:sz w:val="24"/>
              </w:rPr>
              <w:tab/>
            </w:r>
            <w:r>
              <w:rPr>
                <w:rFonts w:ascii="Times New Roman" w:hAnsi="Times New Roman"/>
                <w:b/>
                <w:sz w:val="24"/>
              </w:rPr>
              <w:t>[ 10B – níos mó ]</w:t>
            </w:r>
            <w:r>
              <w:rPr>
                <w:rFonts w:ascii="Times New Roman" w:hAnsi="Times New Roman"/>
                <w:sz w:val="24"/>
              </w:rPr>
              <w:t xml:space="preserve"> : I gcás inar luaithe dáta conarthach na haibíochta ná an dáta tuairiscithe tagartha (i.e. luach diúltach i gceist leis an difríocht idir an dáta tuairiscithe tagartha agus an dáta aibíochta), </w:t>
            </w:r>
            <w:proofErr w:type="spellStart"/>
            <w:r>
              <w:rPr>
                <w:rFonts w:ascii="Times New Roman" w:hAnsi="Times New Roman"/>
                <w:sz w:val="24"/>
              </w:rPr>
              <w:t>leithdháilfear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neamhchosaint ar an tráinse [0 – 3M].</w:t>
            </w:r>
          </w:p>
          <w:p w14:paraId="459DC391" w14:textId="77777777" w:rsidR="00BD16F2" w:rsidRPr="002A677E" w:rsidRDefault="00BD16F2" w:rsidP="00E07FE9">
            <w:pPr>
              <w:spacing w:before="0" w:after="0"/>
              <w:ind w:left="808" w:hanging="360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0647C13" w14:textId="77777777" w:rsidR="00BD16F2" w:rsidRPr="002A677E" w:rsidRDefault="00BD16F2" w:rsidP="00E07FE9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inar luaithe dáta conarthach na haibíochta ná an dáta tuairiscithe tagartha (i.e. tá luach diúltach i gceist leis an difríocht idir an dáta tuairiscithe tagartha agus an dáta aibíochta), </w:t>
            </w:r>
            <w:proofErr w:type="spellStart"/>
            <w:r>
              <w:rPr>
                <w:rFonts w:ascii="Times New Roman" w:hAnsi="Times New Roman"/>
                <w:sz w:val="24"/>
              </w:rPr>
              <w:t>leithdháilfear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neamhchosaint ar an mbuicéad [0 – 3M].</w:t>
            </w:r>
          </w:p>
          <w:p w14:paraId="39F8BC0B" w14:textId="77777777" w:rsidR="00BD16F2" w:rsidRPr="002A677E" w:rsidRDefault="00BD16F2" w:rsidP="00E07FE9">
            <w:pPr>
              <w:spacing w:before="0" w:after="0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652D55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Leithdháilfear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gan aibíocht iarmhair ar an mbuicéad aibíochta iarmhair ar bhonn a dtréimhse fógra nó ar bhonn léirithe conarthacha eile faoin aibíocht. Mura bhfuil aon tréimhse fógra </w:t>
            </w:r>
            <w:proofErr w:type="spellStart"/>
            <w:r>
              <w:rPr>
                <w:rFonts w:ascii="Times New Roman" w:hAnsi="Times New Roman"/>
                <w:sz w:val="24"/>
              </w:rPr>
              <w:t>réamhshainithe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ann ná aon léiriú conarthach eile faoin aibíocht, </w:t>
            </w:r>
            <w:proofErr w:type="spellStart"/>
            <w:r>
              <w:rPr>
                <w:rFonts w:ascii="Times New Roman" w:hAnsi="Times New Roman"/>
                <w:sz w:val="24"/>
              </w:rPr>
              <w:t>leithdháilfear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an mbuicéad aibíochta iarmhair [10B – níos mó].</w:t>
            </w:r>
          </w:p>
        </w:tc>
      </w:tr>
    </w:tbl>
    <w:p w14:paraId="74EC1E02" w14:textId="77777777" w:rsidR="00BD16F2" w:rsidRPr="002A677E" w:rsidRDefault="00BD16F2" w:rsidP="00BD16F2">
      <w:pPr>
        <w:spacing w:after="0"/>
        <w:rPr>
          <w:rStyle w:val="InstructionsTabelleText"/>
          <w:rFonts w:ascii="Times New Roman" w:hAnsi="Times New Roman"/>
          <w:sz w:val="24"/>
        </w:rPr>
      </w:pPr>
    </w:p>
    <w:p w14:paraId="2EAB6BA9" w14:textId="77777777" w:rsidR="00BD16F2" w:rsidRDefault="00BD16F2"/>
    <w:p w14:paraId="2871FFE7" w14:textId="77777777" w:rsidR="00BD16F2" w:rsidRDefault="00BD16F2"/>
    <w:sectPr w:rsidR="00BD16F2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CCD63" w14:textId="77777777" w:rsidR="00BD16F2" w:rsidRDefault="00BD16F2" w:rsidP="00BD16F2">
      <w:pPr>
        <w:spacing w:before="0" w:after="0"/>
      </w:pPr>
      <w:r>
        <w:separator/>
      </w:r>
    </w:p>
  </w:endnote>
  <w:endnote w:type="continuationSeparator" w:id="0">
    <w:p w14:paraId="3440A2E8" w14:textId="77777777" w:rsidR="00BD16F2" w:rsidRDefault="00BD16F2" w:rsidP="00BD16F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82513" w14:textId="77777777" w:rsidR="00BD16F2" w:rsidRDefault="00BD16F2" w:rsidP="00BD16F2">
      <w:pPr>
        <w:spacing w:before="0" w:after="0"/>
      </w:pPr>
      <w:r>
        <w:separator/>
      </w:r>
    </w:p>
  </w:footnote>
  <w:footnote w:type="continuationSeparator" w:id="0">
    <w:p w14:paraId="1717FC61" w14:textId="77777777" w:rsidR="00BD16F2" w:rsidRDefault="00BD16F2" w:rsidP="00BD16F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9A95A" w14:textId="6AF3BF07" w:rsidR="00BD16F2" w:rsidRDefault="00BD16F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3F45FF0" wp14:editId="4B2C6AB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43840396" name="Text Box 2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C787B2" w14:textId="1CAD9F84" w:rsidR="00BD16F2" w:rsidRPr="00BD16F2" w:rsidRDefault="00BD16F2" w:rsidP="00BD16F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F45FF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Gnáthúsáid ÚB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57C787B2" w14:textId="1CAD9F84" w:rsidR="00BD16F2" w:rsidRPr="00BD16F2" w:rsidRDefault="00BD16F2" w:rsidP="00BD16F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B9F67" w14:textId="6AACFABF" w:rsidR="00BD16F2" w:rsidRDefault="00BD16F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91C5592" wp14:editId="3DFB3BCB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766617029" name="Text Box 3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E23C26" w14:textId="6E2A5638" w:rsidR="00BD16F2" w:rsidRPr="00BD16F2" w:rsidRDefault="00BD16F2" w:rsidP="00BD16F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1C559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Gnáthúsáid ÚB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5CE23C26" w14:textId="6E2A5638" w:rsidR="00BD16F2" w:rsidRPr="00BD16F2" w:rsidRDefault="00BD16F2" w:rsidP="00BD16F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FBAF6" w14:textId="6E2DFCB8" w:rsidR="00BD16F2" w:rsidRDefault="00BD16F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5451B99" wp14:editId="1844A30B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18204340" name="Text Box 1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3F1759" w14:textId="756F627B" w:rsidR="00BD16F2" w:rsidRPr="00BD16F2" w:rsidRDefault="00BD16F2" w:rsidP="00BD16F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451B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Gnáthúsáid ÚB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E3F1759" w14:textId="756F627B" w:rsidR="00BD16F2" w:rsidRPr="00BD16F2" w:rsidRDefault="00BD16F2" w:rsidP="00BD16F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18"/>
  </w:num>
  <w:num w:numId="3" w16cid:durableId="286200695">
    <w:abstractNumId w:val="26"/>
  </w:num>
  <w:num w:numId="4" w16cid:durableId="487287975">
    <w:abstractNumId w:val="13"/>
  </w:num>
  <w:num w:numId="5" w16cid:durableId="1754350949">
    <w:abstractNumId w:val="21"/>
  </w:num>
  <w:num w:numId="6" w16cid:durableId="1507597667">
    <w:abstractNumId w:val="11"/>
  </w:num>
  <w:num w:numId="7" w16cid:durableId="139271283">
    <w:abstractNumId w:val="25"/>
  </w:num>
  <w:num w:numId="8" w16cid:durableId="763764270">
    <w:abstractNumId w:val="5"/>
  </w:num>
  <w:num w:numId="9" w16cid:durableId="1561986968">
    <w:abstractNumId w:val="19"/>
  </w:num>
  <w:num w:numId="10" w16cid:durableId="1349260748">
    <w:abstractNumId w:val="9"/>
  </w:num>
  <w:num w:numId="11" w16cid:durableId="1097991330">
    <w:abstractNumId w:val="15"/>
  </w:num>
  <w:num w:numId="12" w16cid:durableId="858469680">
    <w:abstractNumId w:val="6"/>
  </w:num>
  <w:num w:numId="13" w16cid:durableId="1485394352">
    <w:abstractNumId w:val="20"/>
  </w:num>
  <w:num w:numId="14" w16cid:durableId="881021889">
    <w:abstractNumId w:val="17"/>
  </w:num>
  <w:num w:numId="15" w16cid:durableId="1923681300">
    <w:abstractNumId w:val="8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418819944">
    <w:abstractNumId w:val="27"/>
  </w:num>
  <w:num w:numId="20" w16cid:durableId="1079792157">
    <w:abstractNumId w:val="12"/>
  </w:num>
  <w:num w:numId="21" w16cid:durableId="1333265662">
    <w:abstractNumId w:val="2"/>
  </w:num>
  <w:num w:numId="22" w16cid:durableId="737484550">
    <w:abstractNumId w:val="10"/>
  </w:num>
  <w:num w:numId="23" w16cid:durableId="309210531">
    <w:abstractNumId w:val="24"/>
  </w:num>
  <w:num w:numId="24" w16cid:durableId="166527561">
    <w:abstractNumId w:val="1"/>
  </w:num>
  <w:num w:numId="25" w16cid:durableId="1544101633">
    <w:abstractNumId w:val="23"/>
  </w:num>
  <w:num w:numId="26" w16cid:durableId="44380249">
    <w:abstractNumId w:val="16"/>
  </w:num>
  <w:num w:numId="27" w16cid:durableId="1838038624">
    <w:abstractNumId w:val="0"/>
  </w:num>
  <w:num w:numId="28" w16cid:durableId="1856265522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D16F2"/>
    <w:rsid w:val="00017443"/>
    <w:rsid w:val="00023C1E"/>
    <w:rsid w:val="004E7B6F"/>
    <w:rsid w:val="00631623"/>
    <w:rsid w:val="00701E4C"/>
    <w:rsid w:val="00816CE5"/>
    <w:rsid w:val="00855551"/>
    <w:rsid w:val="00A1751F"/>
    <w:rsid w:val="00A6002C"/>
    <w:rsid w:val="00B71F25"/>
    <w:rsid w:val="00BD16F2"/>
    <w:rsid w:val="00E96819"/>
    <w:rsid w:val="00EC5F08"/>
    <w:rsid w:val="00ED4C8C"/>
    <w:rsid w:val="00EE5719"/>
    <w:rsid w:val="00EE75F2"/>
    <w:rsid w:val="00EF07A1"/>
    <w:rsid w:val="00F1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FF0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ga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6F2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qFormat/>
    <w:rsid w:val="00BD16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D16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D16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D16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D16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D16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D16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D16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D16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D16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D16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D16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D16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D16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D16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D16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D16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D16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D16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D16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16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16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16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16F2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D16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16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16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16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16F2"/>
    <w:rPr>
      <w:b/>
      <w:bCs/>
      <w:smallCaps/>
      <w:color w:val="0F4761" w:themeColor="accent1" w:themeShade="BF"/>
      <w:spacing w:val="5"/>
    </w:rPr>
  </w:style>
  <w:style w:type="paragraph" w:styleId="TableofFigures">
    <w:name w:val="table of figures"/>
    <w:basedOn w:val="Normal"/>
    <w:next w:val="Normal"/>
    <w:qFormat/>
    <w:rsid w:val="00BD16F2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BD16F2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BD16F2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BD16F2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BD16F2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BD16F2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BD16F2"/>
    <w:rPr>
      <w:rFonts w:ascii="Arial" w:eastAsia="Arial" w:hAnsi="Arial" w:cs="Times New Roman"/>
      <w:kern w:val="0"/>
      <w:sz w:val="16"/>
      <w:szCs w:val="16"/>
      <w:lang w:val="ga-IE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BD16F2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BD16F2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BD16F2"/>
    <w:rPr>
      <w:rFonts w:ascii="Arial" w:eastAsia="Arial" w:hAnsi="Arial" w:cs="Times New Roman"/>
      <w:kern w:val="0"/>
      <w:sz w:val="14"/>
      <w:szCs w:val="14"/>
      <w:lang w:val="ga-IE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BD16F2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BD16F2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BD16F2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BD16F2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BD16F2"/>
    <w:pPr>
      <w:spacing w:line="312" w:lineRule="auto"/>
      <w:ind w:left="1701" w:hanging="567"/>
    </w:pPr>
  </w:style>
  <w:style w:type="character" w:styleId="Hyperlink">
    <w:name w:val="Hyperlink"/>
    <w:uiPriority w:val="99"/>
    <w:rsid w:val="00BD16F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D16F2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BD16F2"/>
    <w:rPr>
      <w:rFonts w:ascii="Arial" w:eastAsia="Arial" w:hAnsi="Arial" w:cs="Times New Roman"/>
      <w:kern w:val="0"/>
      <w:sz w:val="20"/>
      <w:szCs w:val="20"/>
      <w:lang w:val="ga-IE" w:eastAsia="de-DE"/>
      <w14:ligatures w14:val="none"/>
    </w:rPr>
  </w:style>
  <w:style w:type="paragraph" w:customStyle="1" w:styleId="Marginalspalte">
    <w:name w:val="Marginalspalte"/>
    <w:basedOn w:val="Normal"/>
    <w:uiPriority w:val="1"/>
    <w:qFormat/>
    <w:rsid w:val="00BD16F2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BD16F2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BD16F2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BD16F2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BD16F2"/>
    <w:pPr>
      <w:numPr>
        <w:numId w:val="12"/>
      </w:numPr>
    </w:pPr>
  </w:style>
  <w:style w:type="character" w:styleId="PageNumber">
    <w:name w:val="page number"/>
    <w:uiPriority w:val="99"/>
    <w:rsid w:val="00BD16F2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BD16F2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BD16F2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BD16F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BD16F2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BD16F2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BD16F2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BD16F2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BD16F2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BD16F2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BD16F2"/>
    <w:pPr>
      <w:tabs>
        <w:tab w:val="right" w:leader="dot" w:pos="9071"/>
      </w:tabs>
      <w:ind w:left="1361" w:hanging="1361"/>
    </w:pPr>
    <w:rPr>
      <w:sz w:val="16"/>
    </w:rPr>
  </w:style>
  <w:style w:type="paragraph" w:styleId="TOCHeading">
    <w:name w:val="TOC Heading"/>
    <w:basedOn w:val="Heading1"/>
    <w:next w:val="Normal"/>
    <w:uiPriority w:val="39"/>
    <w:qFormat/>
    <w:rsid w:val="00BD16F2"/>
    <w:pPr>
      <w:autoSpaceDE w:val="0"/>
      <w:autoSpaceDN w:val="0"/>
      <w:adjustRightInd w:val="0"/>
      <w:spacing w:before="480" w:after="0" w:line="311" w:lineRule="auto"/>
      <w:outlineLvl w:val="9"/>
    </w:pPr>
    <w:rPr>
      <w:rFonts w:ascii="Arial" w:eastAsia="Arial" w:hAnsi="Arial" w:cs="Times New Roman"/>
      <w:b/>
      <w:bCs/>
      <w:color w:val="4B67A3"/>
      <w:sz w:val="20"/>
      <w:szCs w:val="28"/>
      <w:u w:val="single"/>
      <w:lang w:eastAsia="x-none"/>
    </w:rPr>
  </w:style>
  <w:style w:type="paragraph" w:styleId="EndnoteText">
    <w:name w:val="endnote text"/>
    <w:basedOn w:val="Normal"/>
    <w:link w:val="EndnoteTextChar"/>
    <w:uiPriority w:val="1"/>
    <w:rsid w:val="00BD16F2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BD16F2"/>
    <w:rPr>
      <w:rFonts w:ascii="Arial" w:eastAsia="Arial" w:hAnsi="Arial" w:cs="Times New Roman"/>
      <w:kern w:val="0"/>
      <w:sz w:val="20"/>
      <w:szCs w:val="20"/>
      <w:lang w:val="ga-IE" w:eastAsia="de-DE"/>
      <w14:ligatures w14:val="none"/>
    </w:rPr>
  </w:style>
  <w:style w:type="character" w:styleId="EndnoteReference">
    <w:name w:val="endnote reference"/>
    <w:uiPriority w:val="1"/>
    <w:rsid w:val="00BD16F2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BD16F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BD16F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D16F2"/>
    <w:rPr>
      <w:rFonts w:eastAsia="Arial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16F2"/>
    <w:rPr>
      <w:rFonts w:ascii="Verdana" w:eastAsia="Arial" w:hAnsi="Verdana" w:cs="Times New Roman"/>
      <w:kern w:val="0"/>
      <w:sz w:val="20"/>
      <w:szCs w:val="20"/>
      <w:lang w:val="ga-IE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BD16F2"/>
    <w:rPr>
      <w:b/>
      <w:bCs/>
    </w:rPr>
  </w:style>
  <w:style w:type="character" w:styleId="FollowedHyperlink">
    <w:name w:val="FollowedHyperlink"/>
    <w:uiPriority w:val="99"/>
    <w:rsid w:val="00BD16F2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BD16F2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D16F2"/>
    <w:rPr>
      <w:rFonts w:ascii="Tahoma" w:eastAsia="Arial" w:hAnsi="Tahoma" w:cs="Times New Roman"/>
      <w:kern w:val="0"/>
      <w:sz w:val="16"/>
      <w:szCs w:val="16"/>
      <w:lang w:val="ga-IE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D16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D16F2"/>
    <w:rPr>
      <w:rFonts w:ascii="Verdana" w:eastAsia="Arial" w:hAnsi="Verdana" w:cs="Times New Roman"/>
      <w:b/>
      <w:bCs/>
      <w:kern w:val="0"/>
      <w:sz w:val="20"/>
      <w:szCs w:val="20"/>
      <w:lang w:val="ga-IE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BD16F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BD16F2"/>
    <w:pPr>
      <w:keepLines w:val="0"/>
      <w:spacing w:before="240" w:after="60"/>
      <w:ind w:left="360" w:hanging="360"/>
    </w:pPr>
    <w:rPr>
      <w:rFonts w:eastAsia="Times New Roman" w:cs="Times New Roman"/>
      <w:b/>
      <w:i w:val="0"/>
      <w:color w:val="auto"/>
      <w:szCs w:val="28"/>
      <w:u w:val="singl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BD16F2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BD16F2"/>
    <w:pPr>
      <w:keepLines w:val="0"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</w:rPr>
  </w:style>
  <w:style w:type="paragraph" w:customStyle="1" w:styleId="Instructionsberschrift2">
    <w:name w:val="Instructions Überschrift 2"/>
    <w:basedOn w:val="Heading2"/>
    <w:rsid w:val="00BD16F2"/>
    <w:pPr>
      <w:keepLines w:val="0"/>
      <w:numPr>
        <w:numId w:val="13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berschrift3">
    <w:name w:val="Instructions Überschrift 3"/>
    <w:basedOn w:val="Heading3"/>
    <w:link w:val="Instructionsberschrift3Zchn"/>
    <w:rsid w:val="00BD16F2"/>
    <w:pPr>
      <w:keepLines w:val="0"/>
      <w:numPr>
        <w:numId w:val="14"/>
      </w:numPr>
      <w:spacing w:before="240" w:after="60" w:line="360" w:lineRule="auto"/>
    </w:pPr>
    <w:rPr>
      <w:rFonts w:eastAsia="Times New Roman" w:cs="Times New Roman"/>
      <w:b/>
      <w:color w:val="auto"/>
      <w:sz w:val="2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BD16F2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BD16F2"/>
    <w:pPr>
      <w:keepLines w:val="0"/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rFonts w:eastAsia="Times New Roman" w:cs="Times New Roman"/>
      <w:b/>
      <w:bCs/>
      <w:i w:val="0"/>
      <w:iCs w:val="0"/>
      <w:color w:val="auto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BD16F2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BD16F2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BD16F2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BD16F2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BD16F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BD16F2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BD16F2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BD16F2"/>
    <w:pPr>
      <w:ind w:left="720"/>
    </w:pPr>
  </w:style>
  <w:style w:type="paragraph" w:customStyle="1" w:styleId="Prrafodelista2">
    <w:name w:val="Párrafo de lista2"/>
    <w:basedOn w:val="Normal"/>
    <w:uiPriority w:val="99"/>
    <w:rsid w:val="00BD16F2"/>
    <w:pPr>
      <w:ind w:left="708"/>
    </w:pPr>
  </w:style>
  <w:style w:type="paragraph" w:styleId="PlainText">
    <w:name w:val="Plain Text"/>
    <w:basedOn w:val="Normal"/>
    <w:link w:val="PlainTextChar"/>
    <w:uiPriority w:val="99"/>
    <w:rsid w:val="00BD16F2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BD16F2"/>
    <w:rPr>
      <w:rFonts w:ascii="Verdana" w:eastAsia="Arial" w:hAnsi="Verdana" w:cs="Times New Roman"/>
      <w:kern w:val="0"/>
      <w:sz w:val="20"/>
      <w:szCs w:val="20"/>
      <w:lang w:val="ga-IE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BD16F2"/>
    <w:pPr>
      <w:ind w:left="708"/>
    </w:pPr>
  </w:style>
  <w:style w:type="character" w:customStyle="1" w:styleId="InstructionsTextChar">
    <w:name w:val="Instructions Text Char"/>
    <w:link w:val="InstructionsText"/>
    <w:locked/>
    <w:rsid w:val="00BD16F2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BD16F2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laceholderText">
    <w:name w:val="Placeholder Text"/>
    <w:uiPriority w:val="99"/>
    <w:semiHidden/>
    <w:rsid w:val="00BD16F2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BD16F2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BD16F2"/>
    <w:rPr>
      <w:rFonts w:ascii="Verdana" w:hAnsi="Verdana" w:cs="Arial"/>
      <w:b/>
      <w:bCs/>
      <w:sz w:val="26"/>
      <w:szCs w:val="26"/>
      <w:u w:val="single"/>
      <w:lang w:val="ga-IE" w:eastAsia="en-US" w:bidi="ar-SA"/>
    </w:rPr>
  </w:style>
  <w:style w:type="paragraph" w:customStyle="1" w:styleId="CM4">
    <w:name w:val="CM4"/>
    <w:basedOn w:val="Normal"/>
    <w:next w:val="Normal"/>
    <w:uiPriority w:val="99"/>
    <w:rsid w:val="00BD16F2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BD16F2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D16F2"/>
    <w:rPr>
      <w:rFonts w:ascii="Tahoma" w:eastAsia="Arial" w:hAnsi="Tahoma" w:cs="Times New Roman"/>
      <w:kern w:val="0"/>
      <w:sz w:val="16"/>
      <w:szCs w:val="16"/>
      <w:lang w:val="ga-IE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BD16F2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BD16F2"/>
    <w:pPr>
      <w:numPr>
        <w:numId w:val="18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BD16F2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BD16F2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BD16F2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BD16F2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BD16F2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BD16F2"/>
    <w:pPr>
      <w:numPr>
        <w:numId w:val="6"/>
      </w:numPr>
    </w:pPr>
  </w:style>
  <w:style w:type="numbering" w:customStyle="1" w:styleId="Formatvorlage3">
    <w:name w:val="Formatvorlage3"/>
    <w:uiPriority w:val="99"/>
    <w:rsid w:val="00BD16F2"/>
    <w:pPr>
      <w:numPr>
        <w:numId w:val="16"/>
      </w:numPr>
    </w:pPr>
  </w:style>
  <w:style w:type="numbering" w:customStyle="1" w:styleId="Formatvorlage1">
    <w:name w:val="Formatvorlage1"/>
    <w:uiPriority w:val="99"/>
    <w:rsid w:val="00BD16F2"/>
    <w:pPr>
      <w:numPr>
        <w:numId w:val="5"/>
      </w:numPr>
    </w:pPr>
  </w:style>
  <w:style w:type="numbering" w:customStyle="1" w:styleId="Formatvorlage4">
    <w:name w:val="Formatvorlage4"/>
    <w:uiPriority w:val="99"/>
    <w:rsid w:val="00BD16F2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BD16F2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BD16F2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BD16F2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BD16F2"/>
    <w:pPr>
      <w:autoSpaceDE w:val="0"/>
      <w:autoSpaceDN w:val="0"/>
      <w:adjustRightInd w:val="0"/>
      <w:spacing w:before="480" w:after="0" w:line="311" w:lineRule="auto"/>
      <w:outlineLvl w:val="9"/>
    </w:pPr>
    <w:rPr>
      <w:rFonts w:ascii="Arial" w:eastAsia="Arial" w:hAnsi="Arial" w:cs="Times New Roman"/>
      <w:b/>
      <w:bCs/>
      <w:color w:val="4B67A3"/>
      <w:sz w:val="20"/>
      <w:szCs w:val="28"/>
      <w:u w:val="single"/>
      <w:lang w:eastAsia="x-none"/>
    </w:rPr>
  </w:style>
  <w:style w:type="paragraph" w:customStyle="1" w:styleId="berarbeitung1">
    <w:name w:val="Überarbeitung1"/>
    <w:hidden/>
    <w:uiPriority w:val="99"/>
    <w:semiHidden/>
    <w:rsid w:val="00BD16F2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BD16F2"/>
    <w:pPr>
      <w:ind w:left="708"/>
    </w:pPr>
  </w:style>
  <w:style w:type="character" w:customStyle="1" w:styleId="Platzhaltertext1">
    <w:name w:val="Platzhaltertext1"/>
    <w:uiPriority w:val="99"/>
    <w:semiHidden/>
    <w:rsid w:val="00BD16F2"/>
    <w:rPr>
      <w:color w:val="808080"/>
    </w:rPr>
  </w:style>
  <w:style w:type="paragraph" w:customStyle="1" w:styleId="Default">
    <w:name w:val="Default"/>
    <w:rsid w:val="00BD16F2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BD16F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D16F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BD16F2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BD16F2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BD16F2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BD16F2"/>
    <w:pPr>
      <w:spacing w:before="240" w:after="120" w:line="276" w:lineRule="auto"/>
      <w:jc w:val="both"/>
    </w:pPr>
    <w:rPr>
      <w:rFonts w:eastAsiaTheme="minorEastAsia"/>
      <w:kern w:val="0"/>
      <w:szCs w:val="24"/>
      <w14:ligatures w14:val="none"/>
    </w:rPr>
  </w:style>
  <w:style w:type="paragraph" w:customStyle="1" w:styleId="Applicationdirecte">
    <w:name w:val="Application directe"/>
    <w:basedOn w:val="Normal"/>
    <w:next w:val="Fait"/>
    <w:rsid w:val="00BD16F2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BD16F2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BD16F2"/>
    <w:pPr>
      <w:numPr>
        <w:numId w:val="25"/>
      </w:numPr>
    </w:pPr>
  </w:style>
  <w:style w:type="paragraph" w:customStyle="1" w:styleId="Numberedtitlelevel2">
    <w:name w:val="Numbered title level 2"/>
    <w:basedOn w:val="Titlelevel2"/>
    <w:next w:val="body"/>
    <w:qFormat/>
    <w:rsid w:val="00BD16F2"/>
    <w:pPr>
      <w:numPr>
        <w:ilvl w:val="1"/>
        <w:numId w:val="25"/>
      </w:numPr>
    </w:pPr>
  </w:style>
  <w:style w:type="paragraph" w:customStyle="1" w:styleId="Titlelevel2">
    <w:name w:val="Title level 2"/>
    <w:qFormat/>
    <w:rsid w:val="00BD16F2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14:ligatures w14:val="none"/>
    </w:rPr>
  </w:style>
  <w:style w:type="paragraph" w:customStyle="1" w:styleId="Tableheader">
    <w:name w:val="Table header"/>
    <w:next w:val="Tabledata"/>
    <w:qFormat/>
    <w:rsid w:val="00BD16F2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14:ligatures w14:val="none"/>
    </w:rPr>
  </w:style>
  <w:style w:type="paragraph" w:customStyle="1" w:styleId="Tabledata">
    <w:name w:val="Table data"/>
    <w:basedOn w:val="body"/>
    <w:qFormat/>
    <w:rsid w:val="00BD16F2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BD16F2"/>
    <w:pPr>
      <w:numPr>
        <w:numId w:val="23"/>
      </w:numPr>
      <w:spacing w:after="0" w:line="240" w:lineRule="auto"/>
    </w:pPr>
    <w:rPr>
      <w:rFonts w:eastAsiaTheme="minorEastAsia"/>
      <w:kern w:val="0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BD16F2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BD16F2"/>
    <w:pPr>
      <w:numPr>
        <w:numId w:val="24"/>
      </w:numPr>
      <w:spacing w:before="240" w:after="120" w:line="240" w:lineRule="auto"/>
      <w:contextualSpacing/>
    </w:pPr>
    <w:rPr>
      <w:rFonts w:eastAsiaTheme="minorEastAsia"/>
      <w:kern w:val="0"/>
      <w:szCs w:val="24"/>
      <w14:ligatures w14:val="none"/>
    </w:rPr>
  </w:style>
  <w:style w:type="paragraph" w:customStyle="1" w:styleId="Titlelevel1">
    <w:name w:val="Title level 1"/>
    <w:autoRedefine/>
    <w:qFormat/>
    <w:rsid w:val="00BD16F2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14:ligatures w14:val="none"/>
    </w:rPr>
  </w:style>
  <w:style w:type="paragraph" w:customStyle="1" w:styleId="Titlelevel3">
    <w:name w:val="Title level 3"/>
    <w:qFormat/>
    <w:rsid w:val="00BD16F2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14:ligatures w14:val="none"/>
    </w:rPr>
  </w:style>
  <w:style w:type="paragraph" w:customStyle="1" w:styleId="Titlelevel4">
    <w:name w:val="Title level 4"/>
    <w:next w:val="body"/>
    <w:qFormat/>
    <w:rsid w:val="00BD16F2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BD16F2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BD16F2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BD16F2"/>
    <w:pPr>
      <w:spacing w:after="0" w:line="240" w:lineRule="auto"/>
    </w:pPr>
    <w:rPr>
      <w:rFonts w:eastAsiaTheme="minorEastAsia"/>
      <w:caps/>
      <w:kern w:val="0"/>
      <w:sz w:val="16"/>
      <w:szCs w:val="18"/>
      <w14:ligatures w14:val="none"/>
    </w:rPr>
  </w:style>
  <w:style w:type="paragraph" w:customStyle="1" w:styleId="bullet1">
    <w:name w:val="bullet 1"/>
    <w:basedOn w:val="body"/>
    <w:next w:val="body"/>
    <w:qFormat/>
    <w:rsid w:val="00BD16F2"/>
    <w:pPr>
      <w:numPr>
        <w:numId w:val="21"/>
      </w:numPr>
    </w:pPr>
    <w:rPr>
      <w:szCs w:val="22"/>
    </w:rPr>
  </w:style>
  <w:style w:type="paragraph" w:customStyle="1" w:styleId="bullet2">
    <w:name w:val="bullet 2"/>
    <w:basedOn w:val="body"/>
    <w:qFormat/>
    <w:rsid w:val="00BD16F2"/>
    <w:pPr>
      <w:numPr>
        <w:numId w:val="20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BD16F2"/>
    <w:pPr>
      <w:numPr>
        <w:ilvl w:val="2"/>
        <w:numId w:val="25"/>
      </w:numPr>
    </w:pPr>
  </w:style>
  <w:style w:type="table" w:styleId="LightShading">
    <w:name w:val="Light Shading"/>
    <w:basedOn w:val="TableNormal"/>
    <w:uiPriority w:val="60"/>
    <w:rsid w:val="00BD16F2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BD16F2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BD16F2"/>
  </w:style>
  <w:style w:type="paragraph" w:customStyle="1" w:styleId="Numberedtitlelevel4">
    <w:name w:val="Numbered title level 4"/>
    <w:basedOn w:val="Titlelevel4"/>
    <w:qFormat/>
    <w:rsid w:val="00BD16F2"/>
    <w:pPr>
      <w:numPr>
        <w:numId w:val="22"/>
      </w:numPr>
    </w:pPr>
  </w:style>
  <w:style w:type="character" w:styleId="BookTitle">
    <w:name w:val="Book Title"/>
    <w:basedOn w:val="DefaultParagraphFont"/>
    <w:uiPriority w:val="33"/>
    <w:qFormat/>
    <w:rsid w:val="00BD16F2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BD16F2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BD16F2"/>
    <w:rPr>
      <w:bCs/>
      <w:lang w:eastAsia="en-GB"/>
    </w:rPr>
  </w:style>
  <w:style w:type="paragraph" w:styleId="ListBullet">
    <w:name w:val="List Bullet"/>
    <w:basedOn w:val="Normal"/>
    <w:semiHidden/>
    <w:qFormat/>
    <w:rsid w:val="00BD16F2"/>
    <w:pPr>
      <w:numPr>
        <w:numId w:val="27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BD16F2"/>
    <w:pPr>
      <w:numPr>
        <w:numId w:val="26"/>
      </w:numPr>
    </w:pPr>
  </w:style>
  <w:style w:type="character" w:customStyle="1" w:styleId="Marker">
    <w:name w:val="Marker"/>
    <w:rsid w:val="00BD16F2"/>
    <w:rPr>
      <w:color w:val="0000FF"/>
      <w:shd w:val="clear" w:color="auto" w:fill="auto"/>
    </w:rPr>
  </w:style>
  <w:style w:type="character" w:customStyle="1" w:styleId="Marker2">
    <w:name w:val="Marker2"/>
    <w:rsid w:val="00BD16F2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D16F2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BD16F2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BD16F2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BD16F2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D16F2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D16F2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BD16F2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D16F2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D16F2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BD16F2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BD16F2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156082" w:themeColor="accent1"/>
      <w:sz w:val="18"/>
      <w:szCs w:val="18"/>
    </w:rPr>
  </w:style>
  <w:style w:type="paragraph" w:customStyle="1" w:styleId="TableNote">
    <w:name w:val="TableNote"/>
    <w:basedOn w:val="Normal"/>
    <w:rsid w:val="00BD16F2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BD16F2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BD16F2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BD16F2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BD16F2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D16F2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16F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16F2"/>
    <w:rPr>
      <w:color w:val="2B579A"/>
      <w:shd w:val="clear" w:color="auto" w:fill="E1DFDD"/>
    </w:rPr>
  </w:style>
  <w:style w:type="paragraph" w:customStyle="1" w:styleId="pf0">
    <w:name w:val="pf0"/>
    <w:basedOn w:val="Normal"/>
    <w:rsid w:val="00BD16F2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BD16F2"/>
  </w:style>
  <w:style w:type="character" w:customStyle="1" w:styleId="cf01">
    <w:name w:val="cf01"/>
    <w:basedOn w:val="DefaultParagraphFont"/>
    <w:rsid w:val="00BD16F2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BD16F2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BD16F2"/>
    <w:rPr>
      <w:rFonts w:ascii="Liberation Serif" w:eastAsia="SimSun" w:hAnsi="Liberation Serif" w:cs="Lucida Sans"/>
      <w:kern w:val="0"/>
      <w:sz w:val="24"/>
      <w:szCs w:val="24"/>
      <w:lang w:val="ga-IE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BD16F2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BD16F2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16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9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CA12DE-C0F7-4594-A9AA-18FF3E6D1567}"/>
</file>

<file path=customXml/itemProps2.xml><?xml version="1.0" encoding="utf-8"?>
<ds:datastoreItem xmlns:ds="http://schemas.openxmlformats.org/officeDocument/2006/customXml" ds:itemID="{6952D216-D3C6-4AB8-A370-6C6BC6A81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8B2F47-92F4-48EA-B739-CC0AC0544475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5236</Words>
  <Characters>29374</Characters>
  <Application>Microsoft Office Word</Application>
  <DocSecurity>0</DocSecurity>
  <Lines>734</Lines>
  <Paragraphs>281</Paragraphs>
  <ScaleCrop>false</ScaleCrop>
  <Company/>
  <LinksUpToDate>false</LinksUpToDate>
  <CharactersWithSpaces>34329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2025-01-24T10:16:00Z</dcterms:created>
  <dcterms:modified xsi:type="dcterms:W3CDTF">2025-01-24T10:16:00Z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2025-01-24T10:16:01Z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c0c099a4-a584-44b8-8eb1-b18ec70e1f6d</vt:lpwstr>
  </property>
  <property fmtid="{D5CDD505-2E9C-101B-9397-08002B2CF9AE}" pid="9" name="MSIP_Label_6bd9ddd1-4d20-43f6-abfa-fc3c07406f94_ContentBits">
    <vt:lpwstr>0</vt:lpwstr>
  </property>
</Properties>
</file>